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1E" w:rsidRPr="00CA1B6E" w:rsidRDefault="00E3441E" w:rsidP="00CA1B6E">
      <w:pPr>
        <w:pStyle w:val="versales"/>
        <w:jc w:val="both"/>
        <w:rPr>
          <w:rFonts w:ascii="Arial" w:hAnsi="Arial" w:cs="Arial"/>
        </w:rPr>
      </w:pPr>
      <w:bookmarkStart w:id="0" w:name="_GoBack"/>
      <w:r w:rsidRPr="00CA1B6E">
        <w:rPr>
          <w:rFonts w:ascii="Arial" w:hAnsi="Arial" w:cs="Arial"/>
        </w:rPr>
        <w:t xml:space="preserve">Que reforma al artículo 1401 del Código de Comercio, a cargo del diputado Ricardo Monreal Ávila, del Grupo Parlamentario de Movimiento Ciudadano </w:t>
      </w:r>
    </w:p>
    <w:bookmarkEnd w:id="0"/>
    <w:p w:rsidR="00E3441E" w:rsidRPr="00CA1B6E" w:rsidRDefault="00E3441E" w:rsidP="00CA1B6E">
      <w:pPr>
        <w:pStyle w:val="NormalWeb"/>
        <w:jc w:val="both"/>
        <w:rPr>
          <w:rFonts w:ascii="Arial" w:hAnsi="Arial" w:cs="Arial"/>
        </w:rPr>
      </w:pPr>
      <w:r w:rsidRPr="00CA1B6E">
        <w:rPr>
          <w:rFonts w:ascii="Arial" w:hAnsi="Arial" w:cs="Arial"/>
        </w:rPr>
        <w:t>Ricardo Monreal Ávila, integrante de la LXII Legislatura del Congreso de la Unión, de conformidad con lo dispuesto en los artículos 71, fracción II, de la Constitución Política de los Estados Unidos Mexicanos; y 6, fracción I, 77 y 78 del Reglamento de la Cámara de Diputados, somete a consideración del pleno, la siguiente iniciativa que contiene el proyecto por el que se reforma el artículo 1401, del Código de Comercio al tenor de la siguiente</w:t>
      </w:r>
    </w:p>
    <w:p w:rsidR="00E3441E" w:rsidRPr="00CA1B6E" w:rsidRDefault="00E3441E" w:rsidP="00CA1B6E">
      <w:pPr>
        <w:pStyle w:val="centrar"/>
        <w:jc w:val="both"/>
        <w:rPr>
          <w:rFonts w:ascii="Arial" w:hAnsi="Arial" w:cs="Arial"/>
        </w:rPr>
      </w:pPr>
      <w:r w:rsidRPr="00CA1B6E">
        <w:rPr>
          <w:rFonts w:ascii="Arial" w:hAnsi="Arial" w:cs="Arial"/>
        </w:rPr>
        <w:t>Exposición de Motivos</w:t>
      </w:r>
    </w:p>
    <w:p w:rsidR="00E3441E" w:rsidRPr="00CA1B6E" w:rsidRDefault="00E3441E" w:rsidP="00CA1B6E">
      <w:pPr>
        <w:pStyle w:val="NormalWeb"/>
        <w:jc w:val="both"/>
        <w:rPr>
          <w:rFonts w:ascii="Arial" w:hAnsi="Arial" w:cs="Arial"/>
        </w:rPr>
      </w:pPr>
      <w:r w:rsidRPr="00CA1B6E">
        <w:rPr>
          <w:rFonts w:ascii="Arial" w:hAnsi="Arial" w:cs="Arial"/>
        </w:rPr>
        <w:t>A través de la práctica y aplicación de las leyes mercantiles, resalta sin duda, la exagerada cantidad de juicios ejecutivos que actualmente se tramitan en los juzgados de nuestro país; que implican enormes cantidades en dinero, las cuales muchas veces se encuentran estancadas por la discreción de los juzgadores para desahogar las etapas procesales, sin que exista prontitud dentro de los procedimientos, especialmente en etapas como la de desahogo de pruebas.</w:t>
      </w:r>
    </w:p>
    <w:p w:rsidR="00E3441E" w:rsidRPr="00CA1B6E" w:rsidRDefault="00E3441E" w:rsidP="00CA1B6E">
      <w:pPr>
        <w:pStyle w:val="NormalWeb"/>
        <w:jc w:val="both"/>
        <w:rPr>
          <w:rFonts w:ascii="Arial" w:hAnsi="Arial" w:cs="Arial"/>
        </w:rPr>
      </w:pPr>
      <w:r w:rsidRPr="00CA1B6E">
        <w:rPr>
          <w:rFonts w:ascii="Arial" w:hAnsi="Arial" w:cs="Arial"/>
        </w:rPr>
        <w:t>El juicio ejecutivo mercantil se origina con el cada vez mayor incumplimiento de las obligaciones que se hacen constar generalmente en un título de crédito, y que en conjunto representan cientos de millones de pesos que se pueden tornar improductivos, lo que como consecuencia contribuye a generar un retraso para la economía de nuestro país.</w:t>
      </w:r>
    </w:p>
    <w:p w:rsidR="00E3441E" w:rsidRPr="00CA1B6E" w:rsidRDefault="00E3441E" w:rsidP="00CA1B6E">
      <w:pPr>
        <w:pStyle w:val="NormalWeb"/>
        <w:jc w:val="both"/>
        <w:rPr>
          <w:rFonts w:ascii="Arial" w:hAnsi="Arial" w:cs="Arial"/>
        </w:rPr>
      </w:pPr>
      <w:r w:rsidRPr="00CA1B6E">
        <w:rPr>
          <w:rFonts w:ascii="Arial" w:hAnsi="Arial" w:cs="Arial"/>
        </w:rPr>
        <w:t>El juicio ejecutivo mercantil en su origen fue considerado como un procedimiento rápido y expedito, sin embargo, en la actualidad este procedimiento en todo mo</w:t>
      </w:r>
      <w:r w:rsidRPr="00CA1B6E">
        <w:rPr>
          <w:rFonts w:ascii="Arial" w:hAnsi="Arial" w:cs="Arial"/>
        </w:rPr>
        <w:softHyphen/>
        <w:t>mento se ve retrasado y lento por los dispositivos legales que lo norman.</w:t>
      </w:r>
    </w:p>
    <w:p w:rsidR="00E3441E" w:rsidRPr="00CA1B6E" w:rsidRDefault="00E3441E" w:rsidP="00CA1B6E">
      <w:pPr>
        <w:pStyle w:val="NormalWeb"/>
        <w:jc w:val="both"/>
        <w:rPr>
          <w:rFonts w:ascii="Arial" w:hAnsi="Arial" w:cs="Arial"/>
        </w:rPr>
      </w:pPr>
      <w:r w:rsidRPr="00CA1B6E">
        <w:rPr>
          <w:rFonts w:ascii="Arial" w:hAnsi="Arial" w:cs="Arial"/>
        </w:rPr>
        <w:t>El derecho procesal mercantil nació en Europa, en la Edad Media, en sus orígenes, fue un derecho clasista creado por los tribunales de mercaderes, cuya jurisdicción se limitaba a los comerciantes matriculados en las corporaciones. En sus inicios se aplicó a todos los que li</w:t>
      </w:r>
      <w:r w:rsidRPr="00CA1B6E">
        <w:rPr>
          <w:rFonts w:ascii="Arial" w:hAnsi="Arial" w:cs="Arial"/>
        </w:rPr>
        <w:softHyphen/>
        <w:t>tigaban sobre actos de comercio, independientemente de que fueran o no comerciantes.</w:t>
      </w:r>
    </w:p>
    <w:p w:rsidR="00E3441E" w:rsidRPr="00CA1B6E" w:rsidRDefault="00E3441E" w:rsidP="00CA1B6E">
      <w:pPr>
        <w:pStyle w:val="NormalWeb"/>
        <w:jc w:val="both"/>
        <w:rPr>
          <w:rFonts w:ascii="Arial" w:hAnsi="Arial" w:cs="Arial"/>
        </w:rPr>
      </w:pPr>
      <w:r w:rsidRPr="00CA1B6E">
        <w:rPr>
          <w:rFonts w:ascii="Arial" w:hAnsi="Arial" w:cs="Arial"/>
        </w:rPr>
        <w:t>Posteriormente, fueron creados los tribunales mercantiles, llamados consulados, y que sirvieron de instrumento para transformar la costumbre de los comerciantes en el derecho mercantil, por lo que en su inicio fue una obra de situaciones prácticas y el proceso mercantil siempre se caracterizó por su brevedad.</w:t>
      </w:r>
    </w:p>
    <w:p w:rsidR="00E3441E" w:rsidRPr="00CA1B6E" w:rsidRDefault="00E3441E" w:rsidP="00CA1B6E">
      <w:pPr>
        <w:pStyle w:val="NormalWeb"/>
        <w:jc w:val="both"/>
        <w:rPr>
          <w:rFonts w:ascii="Arial" w:hAnsi="Arial" w:cs="Arial"/>
        </w:rPr>
      </w:pPr>
      <w:r w:rsidRPr="00CA1B6E">
        <w:rPr>
          <w:rFonts w:ascii="Arial" w:hAnsi="Arial" w:cs="Arial"/>
        </w:rPr>
        <w:t>En el siglo XIX, tras un milenio de existencia, los tribunales consulares desaparecen en la mayoría de los países, suprimiendo a los tribunales mercantiles una vez que habían cumplido su misión histórica.</w:t>
      </w:r>
    </w:p>
    <w:p w:rsidR="00E3441E" w:rsidRPr="00CA1B6E" w:rsidRDefault="00E3441E" w:rsidP="00CA1B6E">
      <w:pPr>
        <w:pStyle w:val="NormalWeb"/>
        <w:jc w:val="both"/>
        <w:rPr>
          <w:rFonts w:ascii="Arial" w:hAnsi="Arial" w:cs="Arial"/>
        </w:rPr>
      </w:pPr>
      <w:r w:rsidRPr="00CA1B6E">
        <w:rPr>
          <w:rFonts w:ascii="Arial" w:hAnsi="Arial" w:cs="Arial"/>
        </w:rPr>
        <w:t xml:space="preserve">Cuando se dicta el Código de Comercio Napoleónico, a principios del siglo XIX, el legislador recupera la tarea que le es propia, pero que había denegado durante </w:t>
      </w:r>
      <w:r w:rsidRPr="00CA1B6E">
        <w:rPr>
          <w:rFonts w:ascii="Arial" w:hAnsi="Arial" w:cs="Arial"/>
        </w:rPr>
        <w:lastRenderedPageBreak/>
        <w:t>siglos en los consulados, apareciendo así el derecho mercantil como un cuerpo legal codificado y ya no como un con</w:t>
      </w:r>
      <w:r w:rsidRPr="00CA1B6E">
        <w:rPr>
          <w:rFonts w:ascii="Arial" w:hAnsi="Arial" w:cs="Arial"/>
        </w:rPr>
        <w:softHyphen/>
        <w:t>junto de costumbres conocidas únicamente por los comerciantes.</w:t>
      </w:r>
    </w:p>
    <w:p w:rsidR="00E3441E" w:rsidRPr="00CA1B6E" w:rsidRDefault="00E3441E" w:rsidP="00CA1B6E">
      <w:pPr>
        <w:pStyle w:val="NormalWeb"/>
        <w:jc w:val="both"/>
        <w:rPr>
          <w:rFonts w:ascii="Arial" w:hAnsi="Arial" w:cs="Arial"/>
        </w:rPr>
      </w:pPr>
      <w:r w:rsidRPr="00CA1B6E">
        <w:rPr>
          <w:rFonts w:ascii="Arial" w:hAnsi="Arial" w:cs="Arial"/>
        </w:rPr>
        <w:t>El comercio ya no es la actividad profesional de unos cuantos, sino una de las formas que reviste la conducta humana moderna en general, ya que todos suscriben cheques, pagarés, letras de cambio, todos compran y venden, todos reciben créditos bancarios, la nuestra es una sociedad de mercado y todos participamos en él.</w:t>
      </w:r>
    </w:p>
    <w:p w:rsidR="00E3441E" w:rsidRPr="00CA1B6E" w:rsidRDefault="00E3441E" w:rsidP="00CA1B6E">
      <w:pPr>
        <w:pStyle w:val="NormalWeb"/>
        <w:jc w:val="both"/>
        <w:rPr>
          <w:rFonts w:ascii="Arial" w:hAnsi="Arial" w:cs="Arial"/>
        </w:rPr>
      </w:pPr>
      <w:r w:rsidRPr="00CA1B6E">
        <w:rPr>
          <w:rFonts w:ascii="Arial" w:hAnsi="Arial" w:cs="Arial"/>
        </w:rPr>
        <w:t xml:space="preserve">A los antiguos tribunales mercantiles los </w:t>
      </w:r>
      <w:r w:rsidRPr="00CA1B6E">
        <w:rPr>
          <w:rFonts w:ascii="Arial" w:hAnsi="Arial" w:cs="Arial"/>
        </w:rPr>
        <w:softHyphen/>
        <w:t>mató el éxito del comercio. Los comerciantes crearon un cuerpo de derecho y se vieron obligados a entregarlo a los juristas; algunos países como Italia y Suiza llevaron las consecuencias de esta evolución un paso más adelante y dictaron códigos únicos en los que fusionaron el derecho mercantil y el derecho civil.</w:t>
      </w:r>
    </w:p>
    <w:p w:rsidR="00E3441E" w:rsidRPr="00CA1B6E" w:rsidRDefault="00E3441E" w:rsidP="00CA1B6E">
      <w:pPr>
        <w:pStyle w:val="NormalWeb"/>
        <w:jc w:val="both"/>
        <w:rPr>
          <w:rFonts w:ascii="Arial" w:hAnsi="Arial" w:cs="Arial"/>
        </w:rPr>
      </w:pPr>
      <w:r w:rsidRPr="00CA1B6E">
        <w:rPr>
          <w:rFonts w:ascii="Arial" w:hAnsi="Arial" w:cs="Arial"/>
        </w:rPr>
        <w:t>En nuestro país el Código de Comercio de 1884, que precedió al vigente, declaraba genéricamente aplicable el procedimiento civil a los juicios mercantiles.</w:t>
      </w:r>
    </w:p>
    <w:p w:rsidR="00E3441E" w:rsidRPr="00CA1B6E" w:rsidRDefault="00E3441E" w:rsidP="00CA1B6E">
      <w:pPr>
        <w:pStyle w:val="NormalWeb"/>
        <w:jc w:val="both"/>
        <w:rPr>
          <w:rFonts w:ascii="Arial" w:hAnsi="Arial" w:cs="Arial"/>
        </w:rPr>
      </w:pPr>
      <w:r w:rsidRPr="00CA1B6E">
        <w:rPr>
          <w:rFonts w:ascii="Arial" w:hAnsi="Arial" w:cs="Arial"/>
        </w:rPr>
        <w:t>Los mercantilistas mexicanos, en sus obras, principalmente se han ocupado de temas de naturaleza tan claramente procesal como son la acción ejecutiva mercantil, las excepciones oponibles a un título de crédito, el proceso de cancelación de títulos de crédito y el proceso de quiebra.</w:t>
      </w:r>
    </w:p>
    <w:p w:rsidR="00E3441E" w:rsidRPr="00CA1B6E" w:rsidRDefault="00E3441E" w:rsidP="00CA1B6E">
      <w:pPr>
        <w:pStyle w:val="NormalWeb"/>
        <w:jc w:val="both"/>
        <w:rPr>
          <w:rFonts w:ascii="Arial" w:hAnsi="Arial" w:cs="Arial"/>
        </w:rPr>
      </w:pPr>
      <w:r w:rsidRPr="00CA1B6E">
        <w:rPr>
          <w:rFonts w:ascii="Arial" w:hAnsi="Arial" w:cs="Arial"/>
        </w:rPr>
        <w:t>Al constituirse México como nación independiente, en 1821, las relaciones comerciales se regían por las Ordenanzas de Bilbao, cuya aplicación competía a los consulados existentes en las ciudades de México, Veracruz, Guadalajara y Puebla. Conservaron su vigencia tales ordenanzas de Bilbao hasta el año de 1884, con una breve interrupción de mayo de 1854 a noviembre de 1855, lapso durante el cual rigió un código de comercio especialmente elaborado para la República Mexicana, que se conoció con el nombre de Código Lares, en honor a don Teodosio Lares, ministro de Justicia que patrocinó su elaboración. Este Código Lares tuvo una breve vida, no por deficiencias técnicas, sino por cuestiones políticas.</w:t>
      </w:r>
    </w:p>
    <w:p w:rsidR="00E3441E" w:rsidRPr="00CA1B6E" w:rsidRDefault="00E3441E" w:rsidP="00CA1B6E">
      <w:pPr>
        <w:pStyle w:val="NormalWeb"/>
        <w:jc w:val="both"/>
        <w:rPr>
          <w:rFonts w:ascii="Arial" w:hAnsi="Arial" w:cs="Arial"/>
        </w:rPr>
      </w:pPr>
      <w:r w:rsidRPr="00CA1B6E">
        <w:rPr>
          <w:rFonts w:ascii="Arial" w:hAnsi="Arial" w:cs="Arial"/>
        </w:rPr>
        <w:t>En uso de las atribuciones que al efecto les concedía la Constitución de 1857, algunos de los estados federales de la República dictaron códigos de comercio de aplicación local, que en términos generales se limitaron a reproducir el mencionado Código Lares.</w:t>
      </w:r>
    </w:p>
    <w:p w:rsidR="00E3441E" w:rsidRPr="00CA1B6E" w:rsidRDefault="00E3441E" w:rsidP="00CA1B6E">
      <w:pPr>
        <w:pStyle w:val="NormalWeb"/>
        <w:jc w:val="both"/>
        <w:rPr>
          <w:rFonts w:ascii="Arial" w:hAnsi="Arial" w:cs="Arial"/>
        </w:rPr>
      </w:pPr>
      <w:r w:rsidRPr="00CA1B6E">
        <w:rPr>
          <w:rFonts w:ascii="Arial" w:hAnsi="Arial" w:cs="Arial"/>
        </w:rPr>
        <w:t>No fue sino hasta el veinte de julio de 1884 cuando perdieron vigencia, de modo definitivo las vie</w:t>
      </w:r>
      <w:r w:rsidRPr="00CA1B6E">
        <w:rPr>
          <w:rFonts w:ascii="Arial" w:hAnsi="Arial" w:cs="Arial"/>
        </w:rPr>
        <w:softHyphen/>
        <w:t>jas Ordenanzas de Bilbao, para ser sustituidas por un Código de Comercio que no habría de tener sino breve duración; pues fue abrogado por el que entró en vigor el primero de enero de 1890 y que fue promulgado por el general Porfirio Díaz, presidente de México en esa época, ordenamiento que aún sobrevive y rige.</w:t>
      </w:r>
    </w:p>
    <w:p w:rsidR="00E3441E" w:rsidRPr="00CA1B6E" w:rsidRDefault="00E3441E" w:rsidP="00CA1B6E">
      <w:pPr>
        <w:pStyle w:val="NormalWeb"/>
        <w:jc w:val="both"/>
        <w:rPr>
          <w:rFonts w:ascii="Arial" w:hAnsi="Arial" w:cs="Arial"/>
        </w:rPr>
      </w:pPr>
      <w:r w:rsidRPr="00CA1B6E">
        <w:rPr>
          <w:rFonts w:ascii="Arial" w:hAnsi="Arial" w:cs="Arial"/>
        </w:rPr>
        <w:lastRenderedPageBreak/>
        <w:t>En la vida práctica, nos hemos podido dar cuenta que los juicios que se tramitan en mayor número son los ejecutivos mercantiles.</w:t>
      </w:r>
    </w:p>
    <w:p w:rsidR="00E3441E" w:rsidRPr="00CA1B6E" w:rsidRDefault="00E3441E" w:rsidP="00CA1B6E">
      <w:pPr>
        <w:pStyle w:val="NormalWeb"/>
        <w:jc w:val="both"/>
        <w:rPr>
          <w:rFonts w:ascii="Arial" w:hAnsi="Arial" w:cs="Arial"/>
        </w:rPr>
      </w:pPr>
      <w:r w:rsidRPr="00CA1B6E">
        <w:rPr>
          <w:rFonts w:ascii="Arial" w:hAnsi="Arial" w:cs="Arial"/>
        </w:rPr>
        <w:t>Estos juicios están comprendidos dentro de los sumarios, que tienen por objeto, como su nombre lo indica, la tramitación rápida de un negocio, toda vez que debe hacerse en un término breve, dada la necesidad de pronunciar un fallo perentorio; también porque por los documentos que con la demanda se exhiben hay una presunción legal muy poderosa a favor del actor para estimar que le asiste la verdad y el derecho.</w:t>
      </w:r>
    </w:p>
    <w:p w:rsidR="00E3441E" w:rsidRPr="00CA1B6E" w:rsidRDefault="00E3441E" w:rsidP="00CA1B6E">
      <w:pPr>
        <w:pStyle w:val="NormalWeb"/>
        <w:jc w:val="both"/>
        <w:rPr>
          <w:rFonts w:ascii="Arial" w:hAnsi="Arial" w:cs="Arial"/>
        </w:rPr>
      </w:pPr>
      <w:r w:rsidRPr="00CA1B6E">
        <w:rPr>
          <w:rFonts w:ascii="Arial" w:hAnsi="Arial" w:cs="Arial"/>
        </w:rPr>
        <w:t>El juicio ejecutivo mercantil es un procedimiento sumario de excepción, porque únicamente tiene acceso a él, aquel cuyo crédito consta en un título de tal fuerza que constituye vehemente presunción de que el derecho del actor es legítimo y está suficientemente probado, para que sea desde luego atendido por las autoridades competentes.</w:t>
      </w:r>
    </w:p>
    <w:p w:rsidR="00E3441E" w:rsidRPr="00CA1B6E" w:rsidRDefault="00E3441E" w:rsidP="00CA1B6E">
      <w:pPr>
        <w:pStyle w:val="NormalWeb"/>
        <w:jc w:val="both"/>
        <w:rPr>
          <w:rFonts w:ascii="Arial" w:hAnsi="Arial" w:cs="Arial"/>
        </w:rPr>
      </w:pPr>
      <w:r w:rsidRPr="00CA1B6E">
        <w:rPr>
          <w:rFonts w:ascii="Arial" w:hAnsi="Arial" w:cs="Arial"/>
        </w:rPr>
        <w:t>Los juicios sumarios, llevan implícita la idea de rapidez, esto a diferencia de los juicios ordi</w:t>
      </w:r>
      <w:r w:rsidRPr="00CA1B6E">
        <w:rPr>
          <w:rFonts w:ascii="Arial" w:hAnsi="Arial" w:cs="Arial"/>
        </w:rPr>
        <w:softHyphen/>
        <w:t>narios, cuyos plazos son amplios, sus formalidades varias y en dichos juicios se discuten cuestiones complejas, las que exigen que la controversia se plantee y discuta ampliamente y que para tal objeto fija términos adecuados.</w:t>
      </w:r>
    </w:p>
    <w:p w:rsidR="00E3441E" w:rsidRPr="00CA1B6E" w:rsidRDefault="00E3441E" w:rsidP="00CA1B6E">
      <w:pPr>
        <w:pStyle w:val="NormalWeb"/>
        <w:jc w:val="both"/>
        <w:rPr>
          <w:rFonts w:ascii="Arial" w:hAnsi="Arial" w:cs="Arial"/>
        </w:rPr>
      </w:pPr>
      <w:r w:rsidRPr="00CA1B6E">
        <w:rPr>
          <w:rFonts w:ascii="Arial" w:hAnsi="Arial" w:cs="Arial"/>
        </w:rPr>
        <w:t>De lo aquí planteado, se puede concluir que el legislador ha querido que los juicios ejecutivos, sean civiles o mercantiles, se tramiten con la mayor rapidez posible, siendo la celeridad, la esencia de este tipo juicio.</w:t>
      </w:r>
    </w:p>
    <w:p w:rsidR="00E3441E" w:rsidRPr="00CA1B6E" w:rsidRDefault="00E3441E" w:rsidP="00CA1B6E">
      <w:pPr>
        <w:pStyle w:val="NormalWeb"/>
        <w:jc w:val="both"/>
        <w:rPr>
          <w:rFonts w:ascii="Arial" w:hAnsi="Arial" w:cs="Arial"/>
        </w:rPr>
      </w:pPr>
      <w:r w:rsidRPr="00CA1B6E">
        <w:rPr>
          <w:rFonts w:ascii="Arial" w:hAnsi="Arial" w:cs="Arial"/>
        </w:rPr>
        <w:t>Los juicios ejecutivos mercantiles deben ser los más breves de todos los juicios, los que han de tramitarse con la mayor rapidez y sin embargo, en la práctica es notorio que no su</w:t>
      </w:r>
      <w:r w:rsidRPr="00CA1B6E">
        <w:rPr>
          <w:rFonts w:ascii="Arial" w:hAnsi="Arial" w:cs="Arial"/>
        </w:rPr>
        <w:softHyphen/>
        <w:t>cede así; pues actualmente nuestra legislación mercantil está muy atrasada, ya que ha permanecido estancada por casi un siglo.</w:t>
      </w:r>
    </w:p>
    <w:p w:rsidR="00E3441E" w:rsidRPr="00CA1B6E" w:rsidRDefault="00E3441E" w:rsidP="00CA1B6E">
      <w:pPr>
        <w:pStyle w:val="NormalWeb"/>
        <w:jc w:val="both"/>
        <w:rPr>
          <w:rFonts w:ascii="Arial" w:hAnsi="Arial" w:cs="Arial"/>
        </w:rPr>
      </w:pPr>
      <w:r w:rsidRPr="00CA1B6E">
        <w:rPr>
          <w:rFonts w:ascii="Arial" w:hAnsi="Arial" w:cs="Arial"/>
        </w:rPr>
        <w:t>Ahora bien, en términos prácticos, una vez notificada la demanda, el deudor cuenta con cinco días para comparecer ante el juzgado a hacer paga llana de la cantidad demandada y las costas, o a oponerse a la ejecución si tuviera alguna excep</w:t>
      </w:r>
      <w:r w:rsidRPr="00CA1B6E">
        <w:rPr>
          <w:rFonts w:ascii="Arial" w:hAnsi="Arial" w:cs="Arial"/>
        </w:rPr>
        <w:softHyphen/>
        <w:t>ción para ello.</w:t>
      </w:r>
    </w:p>
    <w:p w:rsidR="00E3441E" w:rsidRPr="00CA1B6E" w:rsidRDefault="00E3441E" w:rsidP="00CA1B6E">
      <w:pPr>
        <w:pStyle w:val="NormalWeb"/>
        <w:jc w:val="both"/>
        <w:rPr>
          <w:rFonts w:ascii="Arial" w:hAnsi="Arial" w:cs="Arial"/>
        </w:rPr>
      </w:pPr>
      <w:r w:rsidRPr="00CA1B6E">
        <w:rPr>
          <w:rFonts w:ascii="Arial" w:hAnsi="Arial" w:cs="Arial"/>
        </w:rPr>
        <w:t>El artículo 1401 del Código de Comercio indica que si el deudor se opusiere a la ejecución, expresando las excepciones que le favorecen y el negocio exigiere prueba, se concederá para ésta un término que no exceda de quince días.</w:t>
      </w:r>
    </w:p>
    <w:p w:rsidR="00E3441E" w:rsidRPr="00CA1B6E" w:rsidRDefault="00E3441E" w:rsidP="00CA1B6E">
      <w:pPr>
        <w:pStyle w:val="NormalWeb"/>
        <w:jc w:val="both"/>
        <w:rPr>
          <w:rFonts w:ascii="Arial" w:hAnsi="Arial" w:cs="Arial"/>
        </w:rPr>
      </w:pPr>
      <w:r w:rsidRPr="00CA1B6E">
        <w:rPr>
          <w:rFonts w:ascii="Arial" w:hAnsi="Arial" w:cs="Arial"/>
        </w:rPr>
        <w:t xml:space="preserve">A juicio del Grupo Parlamentario de Movimiento Ciudadano, es demasiado largo, es decir, el período de prueba señalado en la ley se llega a extender innecesaria y ociosamente, máxime si las pruebas que ofrece la parte demandada, ya se encuentran anunciadas y ofrecidas desde el escrito de contestación de demanda; para lo cual se propone precisar que los quince días con que se cuenta, deberán ser días naturales y el término no deberá prolongarse, aun en el caso de las pruebas supervenientes. </w:t>
      </w:r>
    </w:p>
    <w:p w:rsidR="00E3441E" w:rsidRPr="00CA1B6E" w:rsidRDefault="00E3441E" w:rsidP="00CA1B6E">
      <w:pPr>
        <w:pStyle w:val="NormalWeb"/>
        <w:jc w:val="both"/>
        <w:rPr>
          <w:rFonts w:ascii="Arial" w:hAnsi="Arial" w:cs="Arial"/>
        </w:rPr>
      </w:pPr>
      <w:r w:rsidRPr="00CA1B6E">
        <w:rPr>
          <w:rFonts w:ascii="Arial" w:hAnsi="Arial" w:cs="Arial"/>
        </w:rPr>
        <w:lastRenderedPageBreak/>
        <w:t>Con la presente reforma, México obtendrá un beneficio importante en el desahogo de los procedimientos ejecutivos, por lo que se refiere a prontitud y desahogo. Ello traerá como consecuencia, mayor certeza jurídica y económica, al recuperarse con mayor rapidez los créditos avalados por los títulos que se constituyen como base de la acción, dando mayor fuerza y sustento al trabajo de los juzgadores.</w:t>
      </w:r>
    </w:p>
    <w:p w:rsidR="00E3441E" w:rsidRPr="00CA1B6E" w:rsidRDefault="00E3441E" w:rsidP="00CA1B6E">
      <w:pPr>
        <w:pStyle w:val="NormalWeb"/>
        <w:jc w:val="both"/>
        <w:rPr>
          <w:rFonts w:ascii="Arial" w:hAnsi="Arial" w:cs="Arial"/>
        </w:rPr>
      </w:pPr>
      <w:r w:rsidRPr="00CA1B6E">
        <w:rPr>
          <w:rFonts w:ascii="Arial" w:hAnsi="Arial" w:cs="Arial"/>
        </w:rPr>
        <w:t>Por lo expuesto, se presenta ante esta soberanía el siguiente proyecto de</w:t>
      </w:r>
    </w:p>
    <w:p w:rsidR="00E3441E" w:rsidRPr="00CA1B6E" w:rsidRDefault="00E3441E" w:rsidP="00CA1B6E">
      <w:pPr>
        <w:pStyle w:val="NormalWeb"/>
        <w:jc w:val="both"/>
        <w:rPr>
          <w:rFonts w:ascii="Arial" w:hAnsi="Arial" w:cs="Arial"/>
        </w:rPr>
      </w:pPr>
      <w:r w:rsidRPr="00CA1B6E">
        <w:rPr>
          <w:rStyle w:val="negritas"/>
          <w:rFonts w:ascii="Arial" w:hAnsi="Arial" w:cs="Arial"/>
        </w:rPr>
        <w:t>Decreto por el que se reforma el artículo 1401 del Código de Comercio</w:t>
      </w:r>
    </w:p>
    <w:p w:rsidR="00E3441E" w:rsidRPr="00CA1B6E" w:rsidRDefault="00E3441E" w:rsidP="00CA1B6E">
      <w:pPr>
        <w:pStyle w:val="NormalWeb"/>
        <w:jc w:val="both"/>
        <w:rPr>
          <w:rFonts w:ascii="Arial" w:hAnsi="Arial" w:cs="Arial"/>
        </w:rPr>
      </w:pPr>
      <w:r w:rsidRPr="00CA1B6E">
        <w:rPr>
          <w:rStyle w:val="negritas"/>
          <w:rFonts w:ascii="Arial" w:hAnsi="Arial" w:cs="Arial"/>
        </w:rPr>
        <w:t>Único.</w:t>
      </w:r>
      <w:r w:rsidRPr="00CA1B6E">
        <w:rPr>
          <w:rFonts w:ascii="Arial" w:hAnsi="Arial" w:cs="Arial"/>
        </w:rPr>
        <w:t xml:space="preserve"> Se adiciona el artículo 1401 del Código de Comercio para quedar como sigue:</w:t>
      </w:r>
    </w:p>
    <w:p w:rsidR="00E3441E" w:rsidRPr="00CA1B6E" w:rsidRDefault="00E3441E" w:rsidP="00CA1B6E">
      <w:pPr>
        <w:pStyle w:val="NormalWeb"/>
        <w:jc w:val="both"/>
        <w:rPr>
          <w:rFonts w:ascii="Arial" w:hAnsi="Arial" w:cs="Arial"/>
        </w:rPr>
      </w:pPr>
      <w:r w:rsidRPr="00CA1B6E">
        <w:rPr>
          <w:rStyle w:val="negritas"/>
          <w:rFonts w:ascii="Arial" w:hAnsi="Arial" w:cs="Arial"/>
        </w:rPr>
        <w:t>Código de Comercio</w:t>
      </w:r>
    </w:p>
    <w:p w:rsidR="00E3441E" w:rsidRPr="00CA1B6E" w:rsidRDefault="00E3441E" w:rsidP="00CA1B6E">
      <w:pPr>
        <w:pStyle w:val="NormalWeb"/>
        <w:jc w:val="both"/>
        <w:rPr>
          <w:rFonts w:ascii="Arial" w:hAnsi="Arial" w:cs="Arial"/>
        </w:rPr>
      </w:pPr>
      <w:r w:rsidRPr="00CA1B6E">
        <w:rPr>
          <w:rStyle w:val="negritas"/>
          <w:rFonts w:ascii="Arial" w:hAnsi="Arial" w:cs="Arial"/>
        </w:rPr>
        <w:t>Artículo 1401.</w:t>
      </w:r>
      <w:r w:rsidRPr="00CA1B6E">
        <w:rPr>
          <w:rFonts w:ascii="Arial" w:hAnsi="Arial" w:cs="Arial"/>
        </w:rPr>
        <w:t xml:space="preserve"> En los escritos de demanda...</w:t>
      </w:r>
    </w:p>
    <w:p w:rsidR="00E3441E" w:rsidRPr="00CA1B6E" w:rsidRDefault="00E3441E" w:rsidP="00CA1B6E">
      <w:pPr>
        <w:pStyle w:val="NormalWeb"/>
        <w:jc w:val="both"/>
        <w:rPr>
          <w:rFonts w:ascii="Arial" w:hAnsi="Arial" w:cs="Arial"/>
        </w:rPr>
      </w:pPr>
      <w:r w:rsidRPr="00CA1B6E">
        <w:rPr>
          <w:rFonts w:ascii="Arial" w:hAnsi="Arial" w:cs="Arial"/>
        </w:rPr>
        <w:t>...</w:t>
      </w:r>
    </w:p>
    <w:p w:rsidR="00E3441E" w:rsidRPr="00CA1B6E" w:rsidRDefault="00E3441E" w:rsidP="00CA1B6E">
      <w:pPr>
        <w:pStyle w:val="NormalWeb"/>
        <w:jc w:val="both"/>
        <w:rPr>
          <w:rFonts w:ascii="Arial" w:hAnsi="Arial" w:cs="Arial"/>
        </w:rPr>
      </w:pPr>
      <w:r w:rsidRPr="00CA1B6E">
        <w:rPr>
          <w:rFonts w:ascii="Arial" w:hAnsi="Arial" w:cs="Arial"/>
        </w:rPr>
        <w:t xml:space="preserve">Desahogada la vista o transcurrido el plazo para hacerlo, el juez admitirá y mandará preparar las pruebas que procedan, de acuerdo con el Código Federal de Procedimientos Civiles, abriendo el juicio a desahogo de pruebas, hasta por un término </w:t>
      </w:r>
      <w:r w:rsidRPr="00CA1B6E">
        <w:rPr>
          <w:rStyle w:val="negritas"/>
          <w:rFonts w:ascii="Arial" w:hAnsi="Arial" w:cs="Arial"/>
        </w:rPr>
        <w:t xml:space="preserve">que no exceda </w:t>
      </w:r>
      <w:r w:rsidRPr="00CA1B6E">
        <w:rPr>
          <w:rFonts w:ascii="Arial" w:hAnsi="Arial" w:cs="Arial"/>
        </w:rPr>
        <w:t xml:space="preserve">de quince días </w:t>
      </w:r>
      <w:proofErr w:type="gramStart"/>
      <w:r w:rsidRPr="00CA1B6E">
        <w:rPr>
          <w:rStyle w:val="negritas"/>
          <w:rFonts w:ascii="Arial" w:hAnsi="Arial" w:cs="Arial"/>
        </w:rPr>
        <w:t>naturales</w:t>
      </w:r>
      <w:r w:rsidRPr="00CA1B6E">
        <w:rPr>
          <w:rFonts w:ascii="Arial" w:hAnsi="Arial" w:cs="Arial"/>
        </w:rPr>
        <w:t xml:space="preserve"> ,</w:t>
      </w:r>
      <w:proofErr w:type="gramEnd"/>
      <w:r w:rsidRPr="00CA1B6E">
        <w:rPr>
          <w:rFonts w:ascii="Arial" w:hAnsi="Arial" w:cs="Arial"/>
        </w:rPr>
        <w:t xml:space="preserve"> dentro de los cuales deberán realizarse todas las diligencias necesarias para su desahogo, señalando las fechas necesarias para su recepción.</w:t>
      </w:r>
    </w:p>
    <w:p w:rsidR="00E3441E" w:rsidRPr="00CA1B6E" w:rsidRDefault="00E3441E" w:rsidP="00CA1B6E">
      <w:pPr>
        <w:pStyle w:val="NormalWeb"/>
        <w:jc w:val="both"/>
        <w:rPr>
          <w:rFonts w:ascii="Arial" w:hAnsi="Arial" w:cs="Arial"/>
        </w:rPr>
      </w:pPr>
      <w:r w:rsidRPr="00CA1B6E">
        <w:rPr>
          <w:rFonts w:ascii="Arial" w:hAnsi="Arial" w:cs="Arial"/>
        </w:rPr>
        <w:t xml:space="preserve">Las pruebas que se reciban fuera del término concedido por el juez, o su prórroga si la hubiera decretado, serán bajo la responsabilidad de éste, quien sin embargo, podrá mandarlas concluir en una sola audiencia </w:t>
      </w:r>
      <w:proofErr w:type="spellStart"/>
      <w:r w:rsidRPr="00CA1B6E">
        <w:rPr>
          <w:rFonts w:ascii="Arial" w:hAnsi="Arial" w:cs="Arial"/>
        </w:rPr>
        <w:t>indiferible</w:t>
      </w:r>
      <w:proofErr w:type="spellEnd"/>
      <w:r w:rsidRPr="00CA1B6E">
        <w:rPr>
          <w:rFonts w:ascii="Arial" w:hAnsi="Arial" w:cs="Arial"/>
        </w:rPr>
        <w:t xml:space="preserve"> que se celebrará dentro de los diez días </w:t>
      </w:r>
      <w:r w:rsidRPr="00CA1B6E">
        <w:rPr>
          <w:rStyle w:val="negritas"/>
          <w:rFonts w:ascii="Arial" w:hAnsi="Arial" w:cs="Arial"/>
        </w:rPr>
        <w:t>naturales</w:t>
      </w:r>
      <w:r w:rsidRPr="00CA1B6E">
        <w:rPr>
          <w:rFonts w:ascii="Arial" w:hAnsi="Arial" w:cs="Arial"/>
        </w:rPr>
        <w:t xml:space="preserve"> siguientes.</w:t>
      </w:r>
    </w:p>
    <w:p w:rsidR="00E3441E" w:rsidRPr="00CA1B6E" w:rsidRDefault="00E3441E" w:rsidP="00CA1B6E">
      <w:pPr>
        <w:pStyle w:val="centrar"/>
        <w:jc w:val="both"/>
        <w:rPr>
          <w:rFonts w:ascii="Arial" w:hAnsi="Arial" w:cs="Arial"/>
        </w:rPr>
      </w:pPr>
      <w:r w:rsidRPr="00CA1B6E">
        <w:rPr>
          <w:rFonts w:ascii="Arial" w:hAnsi="Arial" w:cs="Arial"/>
        </w:rPr>
        <w:t>Transitorio</w:t>
      </w:r>
    </w:p>
    <w:p w:rsidR="00E3441E" w:rsidRPr="00CA1B6E" w:rsidRDefault="00E3441E" w:rsidP="00CA1B6E">
      <w:pPr>
        <w:pStyle w:val="NormalWeb"/>
        <w:jc w:val="both"/>
        <w:rPr>
          <w:rFonts w:ascii="Arial" w:hAnsi="Arial" w:cs="Arial"/>
        </w:rPr>
      </w:pPr>
      <w:r w:rsidRPr="00CA1B6E">
        <w:rPr>
          <w:rStyle w:val="negritas"/>
          <w:rFonts w:ascii="Arial" w:hAnsi="Arial" w:cs="Arial"/>
        </w:rPr>
        <w:t>Único.</w:t>
      </w:r>
      <w:r w:rsidRPr="00CA1B6E">
        <w:rPr>
          <w:rFonts w:ascii="Arial" w:hAnsi="Arial" w:cs="Arial"/>
        </w:rPr>
        <w:t xml:space="preserve"> El presente decreto entrará en vigor el día siguiente al de su publicación en el Diario Oficial de la Federación.</w:t>
      </w:r>
    </w:p>
    <w:p w:rsidR="00E3441E" w:rsidRPr="00CA1B6E" w:rsidRDefault="00E3441E" w:rsidP="00CA1B6E">
      <w:pPr>
        <w:pStyle w:val="derecha"/>
        <w:jc w:val="both"/>
        <w:rPr>
          <w:rFonts w:ascii="Arial" w:hAnsi="Arial" w:cs="Arial"/>
        </w:rPr>
      </w:pPr>
      <w:r w:rsidRPr="00CA1B6E">
        <w:rPr>
          <w:rFonts w:ascii="Arial" w:hAnsi="Arial" w:cs="Arial"/>
        </w:rPr>
        <w:t>Dado en el salón de sesiones de la Cámara de Diputados, a 27 de septiembre de 2012.</w:t>
      </w:r>
    </w:p>
    <w:p w:rsidR="00E3441E" w:rsidRPr="00CA1B6E" w:rsidRDefault="00E3441E" w:rsidP="00CA1B6E">
      <w:pPr>
        <w:pStyle w:val="atentamente"/>
        <w:jc w:val="both"/>
        <w:rPr>
          <w:rFonts w:ascii="Arial" w:hAnsi="Arial" w:cs="Arial"/>
        </w:rPr>
      </w:pPr>
      <w:r w:rsidRPr="00CA1B6E">
        <w:rPr>
          <w:rFonts w:ascii="Arial" w:hAnsi="Arial" w:cs="Arial"/>
        </w:rPr>
        <w:t>Diputado Ricardo Monreal Ávila (rúbrica)</w:t>
      </w:r>
    </w:p>
    <w:p w:rsidR="008068BD" w:rsidRPr="00CA1B6E" w:rsidRDefault="00CA1B6E" w:rsidP="00CA1B6E">
      <w:pPr>
        <w:jc w:val="both"/>
        <w:rPr>
          <w:rFonts w:ascii="Arial" w:hAnsi="Arial" w:cs="Arial"/>
        </w:rPr>
      </w:pPr>
    </w:p>
    <w:sectPr w:rsidR="008068BD" w:rsidRPr="00CA1B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1E"/>
    <w:rsid w:val="00B4687E"/>
    <w:rsid w:val="00CA1B6E"/>
    <w:rsid w:val="00E3441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E344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44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E344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3441E"/>
  </w:style>
  <w:style w:type="paragraph" w:customStyle="1" w:styleId="derecha">
    <w:name w:val="derecha"/>
    <w:basedOn w:val="Normal"/>
    <w:rsid w:val="00E344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E3441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E344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44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E344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3441E"/>
  </w:style>
  <w:style w:type="paragraph" w:customStyle="1" w:styleId="derecha">
    <w:name w:val="derecha"/>
    <w:basedOn w:val="Normal"/>
    <w:rsid w:val="00E344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E3441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9929">
      <w:bodyDiv w:val="1"/>
      <w:marLeft w:val="0"/>
      <w:marRight w:val="0"/>
      <w:marTop w:val="0"/>
      <w:marBottom w:val="0"/>
      <w:divBdr>
        <w:top w:val="none" w:sz="0" w:space="0" w:color="auto"/>
        <w:left w:val="none" w:sz="0" w:space="0" w:color="auto"/>
        <w:bottom w:val="none" w:sz="0" w:space="0" w:color="auto"/>
        <w:right w:val="none" w:sz="0" w:space="0" w:color="auto"/>
      </w:divBdr>
      <w:divsChild>
        <w:div w:id="28065801">
          <w:marLeft w:val="0"/>
          <w:marRight w:val="0"/>
          <w:marTop w:val="0"/>
          <w:marBottom w:val="0"/>
          <w:divBdr>
            <w:top w:val="none" w:sz="0" w:space="0" w:color="auto"/>
            <w:left w:val="none" w:sz="0" w:space="0" w:color="auto"/>
            <w:bottom w:val="none" w:sz="0" w:space="0" w:color="auto"/>
            <w:right w:val="none" w:sz="0" w:space="0" w:color="auto"/>
          </w:divBdr>
          <w:divsChild>
            <w:div w:id="3511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1499</Words>
  <Characters>8246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2012-10-12T17:20:00Z</dcterms:created>
  <dcterms:modified xsi:type="dcterms:W3CDTF">2012-10-12T21:50:00Z</dcterms:modified>
</cp:coreProperties>
</file>