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2E" w:rsidRPr="0004485B" w:rsidRDefault="00387F2E" w:rsidP="0004485B">
      <w:pPr>
        <w:pStyle w:val="versales"/>
        <w:jc w:val="both"/>
        <w:rPr>
          <w:rFonts w:ascii="Arial" w:hAnsi="Arial" w:cs="Arial"/>
        </w:rPr>
      </w:pPr>
      <w:bookmarkStart w:id="0" w:name="_GoBack"/>
      <w:r w:rsidRPr="0004485B">
        <w:rPr>
          <w:rFonts w:ascii="Arial" w:hAnsi="Arial" w:cs="Arial"/>
        </w:rPr>
        <w:t xml:space="preserve">Que reforma el artículo 133 de la Constitución Política de los Estados Unidos Mexicanos, a cargo del diputado René Ricardo </w:t>
      </w:r>
      <w:proofErr w:type="spellStart"/>
      <w:r w:rsidRPr="0004485B">
        <w:rPr>
          <w:rFonts w:ascii="Arial" w:hAnsi="Arial" w:cs="Arial"/>
        </w:rPr>
        <w:t>Fujiwara</w:t>
      </w:r>
      <w:proofErr w:type="spellEnd"/>
      <w:r w:rsidRPr="0004485B">
        <w:rPr>
          <w:rFonts w:ascii="Arial" w:hAnsi="Arial" w:cs="Arial"/>
        </w:rPr>
        <w:t xml:space="preserve"> Montelongo y suscrita por integrantes del Grupo Parlamentario de Nueva Alianza </w:t>
      </w:r>
    </w:p>
    <w:bookmarkEnd w:id="0"/>
    <w:p w:rsidR="00387F2E" w:rsidRPr="0004485B" w:rsidRDefault="00387F2E" w:rsidP="0004485B">
      <w:pPr>
        <w:pStyle w:val="NormalWeb"/>
        <w:jc w:val="both"/>
        <w:rPr>
          <w:rFonts w:ascii="Arial" w:hAnsi="Arial" w:cs="Arial"/>
        </w:rPr>
      </w:pPr>
      <w:r w:rsidRPr="0004485B">
        <w:rPr>
          <w:rStyle w:val="negritas"/>
          <w:rFonts w:ascii="Arial" w:hAnsi="Arial" w:cs="Arial"/>
        </w:rPr>
        <w:t>Planteamiento del problema</w:t>
      </w:r>
    </w:p>
    <w:p w:rsidR="00387F2E" w:rsidRPr="0004485B" w:rsidRDefault="00387F2E" w:rsidP="0004485B">
      <w:pPr>
        <w:pStyle w:val="NormalWeb"/>
        <w:jc w:val="both"/>
        <w:rPr>
          <w:rFonts w:ascii="Arial" w:hAnsi="Arial" w:cs="Arial"/>
        </w:rPr>
      </w:pPr>
      <w:r w:rsidRPr="0004485B">
        <w:rPr>
          <w:rFonts w:ascii="Arial" w:hAnsi="Arial" w:cs="Arial"/>
        </w:rPr>
        <w:t>A partir del 10 de junio de 2011, en México se aprobó la reforma que eleva a rango constitucional todos los derechos humanos garantizados en los tratados internacionales ratificados por el Estado mexicano, misma que modificó 11 artículos de la Constitución Política de los Estados Unidos Mexicanos. Indudablemente se trata de un suceso de la mayor importancia que sienta las bases para una mayor protección en la materia y por ende, ha sido elogiado por el Alto Comisionado de las Naciones Unidas para los Derechos Humanos en México.</w:t>
      </w:r>
    </w:p>
    <w:p w:rsidR="00387F2E" w:rsidRPr="0004485B" w:rsidRDefault="00387F2E" w:rsidP="0004485B">
      <w:pPr>
        <w:pStyle w:val="NormalWeb"/>
        <w:jc w:val="both"/>
        <w:rPr>
          <w:rFonts w:ascii="Arial" w:hAnsi="Arial" w:cs="Arial"/>
        </w:rPr>
      </w:pPr>
      <w:r w:rsidRPr="0004485B">
        <w:rPr>
          <w:rFonts w:ascii="Arial" w:hAnsi="Arial" w:cs="Arial"/>
        </w:rPr>
        <w:t>Sin embargo, en los artículos objeto de esta trascendente reforma, el artículo 133 que establece el principio de supremacía constitucional al establecer que la Constitución, las leyes del Congreso de la Unión que emanen de ella y todos los Tratados que estén de acuerdo con la misma, celebrados y que se celebren por el Presidente de la República, con aprobación del Senado, serán la Ley Suprema de toda la Unión, continúa en los mismos términos desde el 18 de enero de 1934.</w:t>
      </w:r>
    </w:p>
    <w:p w:rsidR="00387F2E" w:rsidRPr="0004485B" w:rsidRDefault="00387F2E" w:rsidP="0004485B">
      <w:pPr>
        <w:pStyle w:val="NormalWeb"/>
        <w:jc w:val="both"/>
        <w:rPr>
          <w:rFonts w:ascii="Arial" w:hAnsi="Arial" w:cs="Arial"/>
        </w:rPr>
      </w:pPr>
      <w:r w:rsidRPr="0004485B">
        <w:rPr>
          <w:rFonts w:ascii="Arial" w:hAnsi="Arial" w:cs="Arial"/>
        </w:rPr>
        <w:t>Por otro lado, en 2007, la Suprema Corte de Justicia de la Nación, adoptó las siguientes tesis:</w:t>
      </w:r>
    </w:p>
    <w:p w:rsidR="00387F2E" w:rsidRPr="0004485B" w:rsidRDefault="00387F2E" w:rsidP="0004485B">
      <w:pPr>
        <w:pStyle w:val="sangria"/>
        <w:jc w:val="both"/>
        <w:rPr>
          <w:rFonts w:ascii="Arial" w:hAnsi="Arial" w:cs="Arial"/>
        </w:rPr>
      </w:pPr>
      <w:r w:rsidRPr="0004485B">
        <w:rPr>
          <w:rFonts w:ascii="Arial" w:hAnsi="Arial" w:cs="Arial"/>
        </w:rPr>
        <w:t>Registro núm. 172650</w:t>
      </w:r>
    </w:p>
    <w:p w:rsidR="00387F2E" w:rsidRPr="0004485B" w:rsidRDefault="00387F2E" w:rsidP="0004485B">
      <w:pPr>
        <w:pStyle w:val="sangria"/>
        <w:jc w:val="both"/>
        <w:rPr>
          <w:rFonts w:ascii="Arial" w:hAnsi="Arial" w:cs="Arial"/>
        </w:rPr>
      </w:pPr>
      <w:r w:rsidRPr="0004485B">
        <w:rPr>
          <w:rFonts w:ascii="Arial" w:hAnsi="Arial" w:cs="Arial"/>
        </w:rPr>
        <w:t>Localización: Novena época, instancia: pleno, fuente: Semanario Judicial de la Federación, XXV, abril de 2007, p. 6, tesis: P. IX-2007, tesis aislada, materia(s): constitucional.</w:t>
      </w:r>
    </w:p>
    <w:p w:rsidR="00387F2E" w:rsidRPr="0004485B" w:rsidRDefault="00387F2E" w:rsidP="0004485B">
      <w:pPr>
        <w:pStyle w:val="sangria"/>
        <w:jc w:val="both"/>
        <w:rPr>
          <w:rFonts w:ascii="Arial" w:hAnsi="Arial" w:cs="Arial"/>
        </w:rPr>
      </w:pPr>
      <w:r w:rsidRPr="0004485B">
        <w:rPr>
          <w:rStyle w:val="negritas"/>
          <w:rFonts w:ascii="Arial" w:hAnsi="Arial" w:cs="Arial"/>
        </w:rPr>
        <w:t>Tratados internacionales. Son parte integrante de la Ley Suprema de la Unión y se ubican jerárquicamente por encima de las leyes generales, federales y locales. Interpretación del artículo 133 constitucional</w:t>
      </w:r>
    </w:p>
    <w:p w:rsidR="00387F2E" w:rsidRPr="0004485B" w:rsidRDefault="00387F2E" w:rsidP="0004485B">
      <w:pPr>
        <w:pStyle w:val="sangria"/>
        <w:jc w:val="both"/>
        <w:rPr>
          <w:rFonts w:ascii="Arial" w:hAnsi="Arial" w:cs="Arial"/>
        </w:rPr>
      </w:pPr>
      <w:r w:rsidRPr="0004485B">
        <w:rPr>
          <w:rFonts w:ascii="Arial" w:hAnsi="Arial" w:cs="Arial"/>
        </w:rPr>
        <w:t xml:space="preserve">La interpretación sistemática del artículo 133 de la Constitución Política de los Estados Unidos Mexicanos permite identificar la existencia de un orden jurídico superior, de carácter nacional, integrado por la Constitución Federal, los tratados internacionales y las leyes generales. Asimismo, a partir de dicha interpretación, armonizada con los principios de derecho internacional dispersos en el texto constitucional, así como con las normas y premisas fundamentales de esa rama del derecho, se concluye que los tratados internacionales se ubican jerárquicamente abajo de la Constitución federal y por encima de las leyes generales, federales y locales, en la medida en que el Estado mexicano al suscribirlos, de conformidad con lo dispuesto en la Convención de Viena sobre el Derecho de los Tratados entre los Estados y Organizaciones Internacionales o entre Organizaciones Internacionales y, además, atendiendo al principio fundamental de derecho internacional consuetudinario </w:t>
      </w:r>
      <w:r w:rsidRPr="0004485B">
        <w:rPr>
          <w:rStyle w:val="italicas"/>
          <w:rFonts w:ascii="Arial" w:hAnsi="Arial" w:cs="Arial"/>
        </w:rPr>
        <w:t xml:space="preserve">pacta </w:t>
      </w:r>
      <w:proofErr w:type="spellStart"/>
      <w:r w:rsidRPr="0004485B">
        <w:rPr>
          <w:rStyle w:val="italicas"/>
          <w:rFonts w:ascii="Arial" w:hAnsi="Arial" w:cs="Arial"/>
        </w:rPr>
        <w:t>sunt</w:t>
      </w:r>
      <w:proofErr w:type="spellEnd"/>
      <w:r w:rsidRPr="0004485B">
        <w:rPr>
          <w:rStyle w:val="italicas"/>
          <w:rFonts w:ascii="Arial" w:hAnsi="Arial" w:cs="Arial"/>
        </w:rPr>
        <w:t xml:space="preserve"> </w:t>
      </w:r>
      <w:proofErr w:type="spellStart"/>
      <w:r w:rsidRPr="0004485B">
        <w:rPr>
          <w:rStyle w:val="italicas"/>
          <w:rFonts w:ascii="Arial" w:hAnsi="Arial" w:cs="Arial"/>
        </w:rPr>
        <w:t>servanda</w:t>
      </w:r>
      <w:proofErr w:type="spellEnd"/>
      <w:r w:rsidRPr="0004485B">
        <w:rPr>
          <w:rStyle w:val="italicas"/>
          <w:rFonts w:ascii="Arial" w:hAnsi="Arial" w:cs="Arial"/>
        </w:rPr>
        <w:t>,</w:t>
      </w:r>
      <w:r w:rsidRPr="0004485B">
        <w:rPr>
          <w:rFonts w:ascii="Arial" w:hAnsi="Arial" w:cs="Arial"/>
        </w:rPr>
        <w:t xml:space="preserve"> </w:t>
      </w:r>
      <w:r w:rsidRPr="0004485B">
        <w:rPr>
          <w:rFonts w:ascii="Arial" w:hAnsi="Arial" w:cs="Arial"/>
        </w:rPr>
        <w:lastRenderedPageBreak/>
        <w:t>contrae libremente obligaciones frente a la comunidad internacional que no pueden ser desconocidas invocando normas de derecho interno y cuyo incumplimiento supone, por lo demás, una responsabilidad de carácter internacional.</w:t>
      </w:r>
    </w:p>
    <w:p w:rsidR="00387F2E" w:rsidRPr="0004485B" w:rsidRDefault="00387F2E" w:rsidP="0004485B">
      <w:pPr>
        <w:pStyle w:val="sangria"/>
        <w:jc w:val="both"/>
        <w:rPr>
          <w:rFonts w:ascii="Arial" w:hAnsi="Arial" w:cs="Arial"/>
        </w:rPr>
      </w:pPr>
      <w:r w:rsidRPr="0004485B">
        <w:rPr>
          <w:rFonts w:ascii="Arial" w:hAnsi="Arial" w:cs="Arial"/>
        </w:rPr>
        <w:t xml:space="preserve">Amparo en revisión 120/2002. McCain México, SA de CV. 13 de febrero de 2007. Mayoría de seis votos. Disidentes: José Ramón Cossío Díaz, Margarita Beatriz Luna Ramos, José Fernando Franco González Salas, José de Jesús Gudiño Pelayo y Juan N. Silva Meza. Ponente: Sergio Salvador Aguirre Anguiano. Secretarios: Andrea Zambrana Castañeda, Rafael Coello Cetina, </w:t>
      </w:r>
      <w:proofErr w:type="spellStart"/>
      <w:r w:rsidRPr="0004485B">
        <w:rPr>
          <w:rFonts w:ascii="Arial" w:hAnsi="Arial" w:cs="Arial"/>
        </w:rPr>
        <w:t>Malkah</w:t>
      </w:r>
      <w:proofErr w:type="spellEnd"/>
      <w:r w:rsidRPr="0004485B">
        <w:rPr>
          <w:rFonts w:ascii="Arial" w:hAnsi="Arial" w:cs="Arial"/>
        </w:rPr>
        <w:t xml:space="preserve"> </w:t>
      </w:r>
      <w:proofErr w:type="spellStart"/>
      <w:r w:rsidRPr="0004485B">
        <w:rPr>
          <w:rFonts w:ascii="Arial" w:hAnsi="Arial" w:cs="Arial"/>
        </w:rPr>
        <w:t>Nobigrot</w:t>
      </w:r>
      <w:proofErr w:type="spellEnd"/>
      <w:r w:rsidRPr="0004485B">
        <w:rPr>
          <w:rFonts w:ascii="Arial" w:hAnsi="Arial" w:cs="Arial"/>
        </w:rPr>
        <w:t xml:space="preserve"> </w:t>
      </w:r>
      <w:proofErr w:type="spellStart"/>
      <w:r w:rsidRPr="0004485B">
        <w:rPr>
          <w:rFonts w:ascii="Arial" w:hAnsi="Arial" w:cs="Arial"/>
        </w:rPr>
        <w:t>Kleinman</w:t>
      </w:r>
      <w:proofErr w:type="spellEnd"/>
      <w:r w:rsidRPr="0004485B">
        <w:rPr>
          <w:rFonts w:ascii="Arial" w:hAnsi="Arial" w:cs="Arial"/>
        </w:rPr>
        <w:t xml:space="preserve"> y Maura A. Sanabria Martínez.</w:t>
      </w:r>
    </w:p>
    <w:p w:rsidR="00387F2E" w:rsidRPr="0004485B" w:rsidRDefault="00387F2E" w:rsidP="0004485B">
      <w:pPr>
        <w:pStyle w:val="sangria"/>
        <w:jc w:val="both"/>
        <w:rPr>
          <w:rFonts w:ascii="Arial" w:hAnsi="Arial" w:cs="Arial"/>
        </w:rPr>
      </w:pPr>
      <w:r w:rsidRPr="0004485B">
        <w:rPr>
          <w:rFonts w:ascii="Arial" w:hAnsi="Arial" w:cs="Arial"/>
        </w:rPr>
        <w:t>El Tribunal Pleno, el veinte de marzo en curso, aprobó, con el número IX/2007, la tesis aislada que antecede. México, Distrito Federal, a veinte de marzo de dos mil siete.</w:t>
      </w:r>
    </w:p>
    <w:p w:rsidR="00387F2E" w:rsidRPr="0004485B" w:rsidRDefault="00387F2E" w:rsidP="0004485B">
      <w:pPr>
        <w:pStyle w:val="sangria"/>
        <w:jc w:val="both"/>
        <w:rPr>
          <w:rFonts w:ascii="Arial" w:hAnsi="Arial" w:cs="Arial"/>
        </w:rPr>
      </w:pPr>
      <w:r w:rsidRPr="0004485B">
        <w:rPr>
          <w:rFonts w:ascii="Arial" w:hAnsi="Arial" w:cs="Arial"/>
        </w:rPr>
        <w:t>Nota: En la sesión pública de trece de febrero de dos mil siete, además del amparo en revisión 120/2002, promovido por McCain México, SA de CV, se resolvieron los amparos en revisión 1976/2003, 787/2004, 1084/2004, 1651/2004, 1277/2004, 1576/2005, 1738/2005, 2075/2005, 74/2006, 815/2006, 948/2006, 1380/2006, y el amparo directo en revisión 1850/2004, respecto de los cuales el tema medular correspondió a la interpretación del artículo 133 de la Constitución Política de los Estados Unidos Mexicanos, a que se refiere esta tesis aislada.</w:t>
      </w:r>
    </w:p>
    <w:p w:rsidR="00387F2E" w:rsidRPr="0004485B" w:rsidRDefault="00387F2E" w:rsidP="0004485B">
      <w:pPr>
        <w:pStyle w:val="sangria"/>
        <w:jc w:val="both"/>
        <w:rPr>
          <w:rFonts w:ascii="Arial" w:hAnsi="Arial" w:cs="Arial"/>
        </w:rPr>
      </w:pPr>
      <w:r w:rsidRPr="0004485B">
        <w:rPr>
          <w:rFonts w:ascii="Arial" w:hAnsi="Arial" w:cs="Arial"/>
        </w:rPr>
        <w:t>Registro núm. 172667</w:t>
      </w:r>
    </w:p>
    <w:p w:rsidR="00387F2E" w:rsidRPr="0004485B" w:rsidRDefault="00387F2E" w:rsidP="0004485B">
      <w:pPr>
        <w:pStyle w:val="sangria"/>
        <w:jc w:val="both"/>
        <w:rPr>
          <w:rFonts w:ascii="Arial" w:hAnsi="Arial" w:cs="Arial"/>
        </w:rPr>
      </w:pPr>
      <w:r w:rsidRPr="0004485B">
        <w:rPr>
          <w:rFonts w:ascii="Arial" w:hAnsi="Arial" w:cs="Arial"/>
        </w:rPr>
        <w:t>Localización: Novena época, instancia: pleno, fuente: Semanario Judicial de la Federación, XXV, abril de 2007, p. 6, tesis: P. VIII/2007, tesis aislada, materia(s): constitucional.</w:t>
      </w:r>
    </w:p>
    <w:p w:rsidR="00387F2E" w:rsidRPr="0004485B" w:rsidRDefault="00387F2E" w:rsidP="0004485B">
      <w:pPr>
        <w:pStyle w:val="sangria"/>
        <w:jc w:val="both"/>
        <w:rPr>
          <w:rFonts w:ascii="Arial" w:hAnsi="Arial" w:cs="Arial"/>
        </w:rPr>
      </w:pPr>
      <w:r w:rsidRPr="0004485B">
        <w:rPr>
          <w:rStyle w:val="negritas"/>
          <w:rFonts w:ascii="Arial" w:hAnsi="Arial" w:cs="Arial"/>
        </w:rPr>
        <w:t>Supremacía constitucional y Ley Suprema de la Unión. Interpretación del artículo 133 constitucional.</w:t>
      </w:r>
    </w:p>
    <w:p w:rsidR="00387F2E" w:rsidRPr="0004485B" w:rsidRDefault="00387F2E" w:rsidP="0004485B">
      <w:pPr>
        <w:pStyle w:val="NormalWeb"/>
        <w:jc w:val="both"/>
        <w:rPr>
          <w:rFonts w:ascii="Arial" w:hAnsi="Arial" w:cs="Arial"/>
        </w:rPr>
      </w:pPr>
      <w:r w:rsidRPr="0004485B">
        <w:rPr>
          <w:rStyle w:val="negritas"/>
          <w:rFonts w:ascii="Arial" w:hAnsi="Arial" w:cs="Arial"/>
        </w:rPr>
        <w:t>Argumentación</w:t>
      </w:r>
    </w:p>
    <w:p w:rsidR="00387F2E" w:rsidRPr="0004485B" w:rsidRDefault="00387F2E" w:rsidP="0004485B">
      <w:pPr>
        <w:pStyle w:val="NormalWeb"/>
        <w:jc w:val="both"/>
        <w:rPr>
          <w:rFonts w:ascii="Arial" w:hAnsi="Arial" w:cs="Arial"/>
        </w:rPr>
      </w:pPr>
      <w:r w:rsidRPr="0004485B">
        <w:rPr>
          <w:rFonts w:ascii="Arial" w:hAnsi="Arial" w:cs="Arial"/>
        </w:rPr>
        <w:t>A partir de la interpretación del precepto citado, si aceptamos que las leyes del Congreso de la Unión a las que aquél se refiere corresponden, no a las leyes federales sino a aquellas que inciden en todos los órdenes jurídicos parciales que integran al Estado mexicano y cuya emisión deriva de cláusulas constitucionales que constriñen al legislador para dictarlas, el principio de “supremacía constitucional” implícito en el texto del artículo en cita claramente se traduce en que la Constitución general de la República, las leyes generales del Congreso de la Unión y los tratados internacionales que estén de acuerdo con ella, constituyen la “ley suprema de la Unión”, esto es, conforman un orden jurídico superior, de carácter nacional, en el cual la Constitución se ubica en la cúspide y, por debajo de ella los tratados internacionales y las leyes generales.</w:t>
      </w:r>
    </w:p>
    <w:p w:rsidR="00387F2E" w:rsidRPr="0004485B" w:rsidRDefault="00387F2E" w:rsidP="0004485B">
      <w:pPr>
        <w:pStyle w:val="sangria"/>
        <w:jc w:val="both"/>
        <w:rPr>
          <w:rFonts w:ascii="Arial" w:hAnsi="Arial" w:cs="Arial"/>
        </w:rPr>
      </w:pPr>
      <w:r w:rsidRPr="0004485B">
        <w:rPr>
          <w:rFonts w:ascii="Arial" w:hAnsi="Arial" w:cs="Arial"/>
        </w:rPr>
        <w:lastRenderedPageBreak/>
        <w:t xml:space="preserve">Amparo en revisión 120/2002. McCain México, S. A. de C. V. 13 de febrero de 2007. Mayoría de seis votos. Disidentes: José Ramón Cossío Díaz, Margarita Beatriz Luna Ramos, José Fernando Franco González Salas, José de Jesús Gudiño Pelayo y Juan N. Silva Meza. Ponente: Sergio Salvador Aguirre Anguiano. Secretarios: Andrea Zambrana Castañeda, Rafael Coello Cetina, </w:t>
      </w:r>
      <w:proofErr w:type="spellStart"/>
      <w:r w:rsidRPr="0004485B">
        <w:rPr>
          <w:rFonts w:ascii="Arial" w:hAnsi="Arial" w:cs="Arial"/>
        </w:rPr>
        <w:t>Malkah</w:t>
      </w:r>
      <w:proofErr w:type="spellEnd"/>
      <w:r w:rsidRPr="0004485B">
        <w:rPr>
          <w:rFonts w:ascii="Arial" w:hAnsi="Arial" w:cs="Arial"/>
        </w:rPr>
        <w:t xml:space="preserve"> </w:t>
      </w:r>
      <w:proofErr w:type="spellStart"/>
      <w:r w:rsidRPr="0004485B">
        <w:rPr>
          <w:rFonts w:ascii="Arial" w:hAnsi="Arial" w:cs="Arial"/>
        </w:rPr>
        <w:t>Nobigrot</w:t>
      </w:r>
      <w:proofErr w:type="spellEnd"/>
      <w:r w:rsidRPr="0004485B">
        <w:rPr>
          <w:rFonts w:ascii="Arial" w:hAnsi="Arial" w:cs="Arial"/>
        </w:rPr>
        <w:t xml:space="preserve"> </w:t>
      </w:r>
      <w:proofErr w:type="spellStart"/>
      <w:r w:rsidRPr="0004485B">
        <w:rPr>
          <w:rFonts w:ascii="Arial" w:hAnsi="Arial" w:cs="Arial"/>
        </w:rPr>
        <w:t>Kleinman</w:t>
      </w:r>
      <w:proofErr w:type="spellEnd"/>
      <w:r w:rsidRPr="0004485B">
        <w:rPr>
          <w:rFonts w:ascii="Arial" w:hAnsi="Arial" w:cs="Arial"/>
        </w:rPr>
        <w:t xml:space="preserve"> y Maura A. Sanabria Martínez.</w:t>
      </w:r>
    </w:p>
    <w:p w:rsidR="00387F2E" w:rsidRPr="0004485B" w:rsidRDefault="00387F2E" w:rsidP="0004485B">
      <w:pPr>
        <w:pStyle w:val="sangria"/>
        <w:jc w:val="both"/>
        <w:rPr>
          <w:rFonts w:ascii="Arial" w:hAnsi="Arial" w:cs="Arial"/>
        </w:rPr>
      </w:pPr>
      <w:r w:rsidRPr="0004485B">
        <w:rPr>
          <w:rFonts w:ascii="Arial" w:hAnsi="Arial" w:cs="Arial"/>
        </w:rPr>
        <w:t>El Tribunal Pleno, el veinte de marzo en curso, aprobó, con el número VIII/2007, la tesis aislada que antecede. México, Distrito Federal, a veinte de marzo de dos mil siete.</w:t>
      </w:r>
    </w:p>
    <w:p w:rsidR="00387F2E" w:rsidRPr="0004485B" w:rsidRDefault="00387F2E" w:rsidP="0004485B">
      <w:pPr>
        <w:pStyle w:val="sangria"/>
        <w:jc w:val="both"/>
        <w:rPr>
          <w:rFonts w:ascii="Arial" w:hAnsi="Arial" w:cs="Arial"/>
        </w:rPr>
      </w:pPr>
      <w:r w:rsidRPr="0004485B">
        <w:rPr>
          <w:rFonts w:ascii="Arial" w:hAnsi="Arial" w:cs="Arial"/>
        </w:rPr>
        <w:t>Nota: En la sesión pública de trece de febrero de dos mil siete, además del amparo en revisión 120/2002, promovido por McCain México, SA de CV, se resolvieron los amparos en revisión 1976/2003, 787/2004, 1084/2004, 1651/2004, 1277/2004, 1576/2005, 1738/2005, 2075/2005, 74/2006, 815/2006, 948/2006, 1380/2006, y el amparo directo en revisión 1850/2004, respecto de los cuales el tema medular correspondió a la interpretación del artículo 133 de la Constitución Política de los Estados Unidos Mexicanos, a que se refiere esta tesis aislada.</w:t>
      </w:r>
    </w:p>
    <w:p w:rsidR="00387F2E" w:rsidRPr="0004485B" w:rsidRDefault="00387F2E" w:rsidP="0004485B">
      <w:pPr>
        <w:pStyle w:val="sangria"/>
        <w:jc w:val="both"/>
        <w:rPr>
          <w:rFonts w:ascii="Arial" w:hAnsi="Arial" w:cs="Arial"/>
        </w:rPr>
      </w:pPr>
      <w:r w:rsidRPr="0004485B">
        <w:rPr>
          <w:rFonts w:ascii="Arial" w:hAnsi="Arial" w:cs="Arial"/>
        </w:rPr>
        <w:t>En concordancia con el Tribunal Pleno respecto del principio de soberanía del Estado mexicano contenido en el artículo 133 citado, -que establece el sistema adecuado para la recepción del derecho internacional: los tratados internacionales en materia de derechos humanos se encuentran por encima de las leyes expedidas por el Congreso de la Unión pero por debajo de la Constitución- y específicamente, con la decisión histórica del 12 de julio de 2011, relativa a la sentencia dictada por la Corte Interamericana de Derechos Humanos (CIDH) en el caso de la desaparición de Rosendo Radilla, se pronunció a favor del llamado control difuso, es decir, la posibilidad de que todos los juzgadores interpreten y apliquen la constitución y los tratados que más beneficien a las personas en materia de derechos humanos. Se considera que la redacción vigente del precepto 133 constitucional, es aún más incierta y vaga respecto de la jerarquía de los tratados internacionales de derechos humanos suscritos y ratificados por el Estado mexicano, desde la perspectiva del principio de pro persona contenido en el artículo 1º., párrafo segundo de nuestra Constitución, que determina que cuando se aluda a la interpretación de las normas de derechos humanos, deberá imperar la protección más amplia a las personas aún si existiese contradicción entre lo dispuesto por la Carta Magna y un tratado internacional o ley federal. Es decir, se aplicará el derecho que más favorezca al ser humano, basado incluso en las recomendaciones y resoluciones adoptadas por los organismos internacionales de los que México sea parte.</w:t>
      </w:r>
    </w:p>
    <w:p w:rsidR="00387F2E" w:rsidRPr="0004485B" w:rsidRDefault="00387F2E" w:rsidP="0004485B">
      <w:pPr>
        <w:pStyle w:val="sangria"/>
        <w:jc w:val="both"/>
        <w:rPr>
          <w:rFonts w:ascii="Arial" w:hAnsi="Arial" w:cs="Arial"/>
        </w:rPr>
      </w:pPr>
      <w:r w:rsidRPr="0004485B">
        <w:rPr>
          <w:rFonts w:ascii="Arial" w:hAnsi="Arial" w:cs="Arial"/>
        </w:rPr>
        <w:t>“Artículo 1o. Constitución Política de los Estados Unidos Mexicanos:</w:t>
      </w:r>
    </w:p>
    <w:p w:rsidR="00387F2E" w:rsidRPr="0004485B" w:rsidRDefault="00387F2E" w:rsidP="0004485B">
      <w:pPr>
        <w:pStyle w:val="sangria"/>
        <w:jc w:val="both"/>
        <w:rPr>
          <w:rFonts w:ascii="Arial" w:hAnsi="Arial" w:cs="Arial"/>
        </w:rPr>
      </w:pPr>
      <w:r w:rsidRPr="0004485B">
        <w:rPr>
          <w:rFonts w:ascii="Arial" w:hAnsi="Arial" w:cs="Arial"/>
        </w:rPr>
        <w:t xml:space="preserve">En los Estados Unidos Mexicanos todas las personas gozarán de los derechos humanos reconocidos en esta Constitución y en los tratados internacionales de los que el Estado Mexicano sea parte, así como de las garantías para su protección, </w:t>
      </w:r>
      <w:r w:rsidRPr="0004485B">
        <w:rPr>
          <w:rFonts w:ascii="Arial" w:hAnsi="Arial" w:cs="Arial"/>
        </w:rPr>
        <w:lastRenderedPageBreak/>
        <w:t>cuyo ejercicio no podrá restringirse ni suspenderse, salvo en los casos y bajo las condiciones que esta Constitución establece.</w:t>
      </w:r>
    </w:p>
    <w:p w:rsidR="00387F2E" w:rsidRPr="0004485B" w:rsidRDefault="00387F2E" w:rsidP="0004485B">
      <w:pPr>
        <w:pStyle w:val="sangria"/>
        <w:jc w:val="both"/>
        <w:rPr>
          <w:rFonts w:ascii="Arial" w:hAnsi="Arial" w:cs="Arial"/>
        </w:rPr>
      </w:pPr>
      <w:r w:rsidRPr="0004485B">
        <w:rPr>
          <w:rFonts w:ascii="Arial" w:hAnsi="Arial" w:cs="Arial"/>
        </w:rPr>
        <w:t>Las normas relativas a los derechos humanos se interpretarán de conformidad con esta Constitución y con los tratados internacionales de la materia favoreciendo en todo tiempo a las personas la protección más amplia.</w:t>
      </w:r>
    </w:p>
    <w:p w:rsidR="00387F2E" w:rsidRPr="0004485B" w:rsidRDefault="00387F2E" w:rsidP="0004485B">
      <w:pPr>
        <w:pStyle w:val="sangria"/>
        <w:jc w:val="both"/>
        <w:rPr>
          <w:rFonts w:ascii="Arial" w:hAnsi="Arial" w:cs="Arial"/>
        </w:rPr>
      </w:pPr>
      <w:r w:rsidRPr="0004485B">
        <w:rPr>
          <w:rFonts w:ascii="Arial" w:hAnsi="Arial" w:cs="Aria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87F2E" w:rsidRPr="0004485B" w:rsidRDefault="00387F2E" w:rsidP="0004485B">
      <w:pPr>
        <w:pStyle w:val="sangria"/>
        <w:jc w:val="both"/>
        <w:rPr>
          <w:rFonts w:ascii="Arial" w:hAnsi="Arial" w:cs="Arial"/>
        </w:rPr>
      </w:pPr>
      <w:r w:rsidRPr="0004485B">
        <w:rPr>
          <w:rFonts w:ascii="Arial" w:hAnsi="Arial" w:cs="Arial"/>
        </w:rPr>
        <w:t>Está prohibida la esclavitud en los Estados Unidos Mexicanos. Los esclavos del extranjero que entren al territorio nacional alcanzarán, por este solo hecho, su libertad y la protección de las leyes.</w:t>
      </w:r>
    </w:p>
    <w:p w:rsidR="00387F2E" w:rsidRPr="0004485B" w:rsidRDefault="00387F2E" w:rsidP="0004485B">
      <w:pPr>
        <w:pStyle w:val="sangria"/>
        <w:jc w:val="both"/>
        <w:rPr>
          <w:rFonts w:ascii="Arial" w:hAnsi="Arial" w:cs="Arial"/>
        </w:rPr>
      </w:pPr>
      <w:r w:rsidRPr="0004485B">
        <w:rPr>
          <w:rFonts w:ascii="Arial" w:hAnsi="Arial" w:cs="Arial"/>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387F2E" w:rsidRPr="0004485B" w:rsidRDefault="00387F2E" w:rsidP="0004485B">
      <w:pPr>
        <w:pStyle w:val="NormalWeb"/>
        <w:jc w:val="both"/>
        <w:rPr>
          <w:rFonts w:ascii="Arial" w:hAnsi="Arial" w:cs="Arial"/>
        </w:rPr>
      </w:pPr>
      <w:r w:rsidRPr="0004485B">
        <w:rPr>
          <w:rFonts w:ascii="Arial" w:hAnsi="Arial" w:cs="Arial"/>
        </w:rPr>
        <w:t>Por otra parte, en diversos instrumentos jurídicos internacionales, México se ha obligado al cumplimiento del principio pro persona:</w:t>
      </w:r>
    </w:p>
    <w:p w:rsidR="00387F2E" w:rsidRPr="0004485B" w:rsidRDefault="00387F2E" w:rsidP="0004485B">
      <w:pPr>
        <w:pStyle w:val="sangria"/>
        <w:jc w:val="both"/>
        <w:rPr>
          <w:rFonts w:ascii="Arial" w:hAnsi="Arial" w:cs="Arial"/>
        </w:rPr>
      </w:pPr>
      <w:r w:rsidRPr="0004485B">
        <w:rPr>
          <w:rFonts w:ascii="Arial" w:hAnsi="Arial" w:cs="Arial"/>
        </w:rPr>
        <w:t>“Convención Americana de Derechos Humanos o “Pacto de San José de Costa Rica de 1969:</w:t>
      </w:r>
    </w:p>
    <w:p w:rsidR="00387F2E" w:rsidRPr="0004485B" w:rsidRDefault="00387F2E" w:rsidP="0004485B">
      <w:pPr>
        <w:pStyle w:val="sangria"/>
        <w:jc w:val="both"/>
        <w:rPr>
          <w:rFonts w:ascii="Arial" w:hAnsi="Arial" w:cs="Arial"/>
        </w:rPr>
      </w:pPr>
      <w:r w:rsidRPr="0004485B">
        <w:rPr>
          <w:rFonts w:ascii="Arial" w:hAnsi="Arial" w:cs="Arial"/>
        </w:rPr>
        <w:t>Artículo 29. Normas de Interpretación. Ninguna disposición de la presente Convención puede ser interpretada en el sentido de... b) limitar el goce y ejercicio de cualquier derecho o libertad que pueda estar reconocido de acuerdo con las leyes de cualquiera de los Estados Partes o de acuerdo con otra convención en que sea parte uno de dichos Estados...”</w:t>
      </w:r>
    </w:p>
    <w:p w:rsidR="00387F2E" w:rsidRPr="0004485B" w:rsidRDefault="00387F2E" w:rsidP="0004485B">
      <w:pPr>
        <w:pStyle w:val="NormalWeb"/>
        <w:jc w:val="both"/>
        <w:rPr>
          <w:rFonts w:ascii="Arial" w:hAnsi="Arial" w:cs="Arial"/>
        </w:rPr>
      </w:pPr>
      <w:r w:rsidRPr="0004485B">
        <w:rPr>
          <w:rFonts w:ascii="Arial" w:hAnsi="Arial" w:cs="Arial"/>
        </w:rPr>
        <w:t>Pacto Internacional de los Derechos Civiles y Políticos</w:t>
      </w:r>
    </w:p>
    <w:p w:rsidR="00387F2E" w:rsidRPr="0004485B" w:rsidRDefault="00387F2E" w:rsidP="0004485B">
      <w:pPr>
        <w:pStyle w:val="sangria"/>
        <w:jc w:val="both"/>
        <w:rPr>
          <w:rFonts w:ascii="Arial" w:hAnsi="Arial" w:cs="Arial"/>
        </w:rPr>
      </w:pPr>
      <w:r w:rsidRPr="0004485B">
        <w:rPr>
          <w:rFonts w:ascii="Arial" w:hAnsi="Arial" w:cs="Arial"/>
        </w:rPr>
        <w:t xml:space="preserve">Artículo 5.1.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2. No podrá admitirse restricción o menoscabo de ninguno de los derechos humanos fundamentales reconocidos o vigentes en un Estado Parte en virtud de leyes, convenciones, reglamentos o </w:t>
      </w:r>
      <w:r w:rsidRPr="0004485B">
        <w:rPr>
          <w:rFonts w:ascii="Arial" w:hAnsi="Arial" w:cs="Arial"/>
        </w:rPr>
        <w:lastRenderedPageBreak/>
        <w:t>costumbres, so pretexto de que el presente Pacto no los reconoce o los reconoce en menor grado.”</w:t>
      </w:r>
    </w:p>
    <w:p w:rsidR="00387F2E" w:rsidRPr="0004485B" w:rsidRDefault="00387F2E" w:rsidP="0004485B">
      <w:pPr>
        <w:pStyle w:val="sangria"/>
        <w:jc w:val="both"/>
        <w:rPr>
          <w:rFonts w:ascii="Arial" w:hAnsi="Arial" w:cs="Arial"/>
        </w:rPr>
      </w:pPr>
      <w:r w:rsidRPr="0004485B">
        <w:rPr>
          <w:rFonts w:ascii="Arial" w:hAnsi="Arial" w:cs="Arial"/>
        </w:rPr>
        <w:t>Protocolo Adicional a la Convención Americana sobre Derechos Humanos en materia de Derechos Económicos, Sociales y Culturales o “Protocolo de San Salvador”, ratificada el 8 de marzo de 1996:</w:t>
      </w:r>
    </w:p>
    <w:p w:rsidR="00387F2E" w:rsidRPr="0004485B" w:rsidRDefault="00387F2E" w:rsidP="0004485B">
      <w:pPr>
        <w:pStyle w:val="sangria"/>
        <w:jc w:val="both"/>
        <w:rPr>
          <w:rFonts w:ascii="Arial" w:hAnsi="Arial" w:cs="Arial"/>
        </w:rPr>
      </w:pPr>
      <w:r w:rsidRPr="0004485B">
        <w:rPr>
          <w:rFonts w:ascii="Arial" w:hAnsi="Arial" w:cs="Arial"/>
        </w:rPr>
        <w:t>Artículo 4. No Admisión de Restricciones. No podrá restringirse o menoscabarse ninguno de los derechos reconocidos o vigentes en un Estado en virtud de su legislación interna o de convenciones internacionales, a pretexto de que el presente Protocolo no los reconoce o los reconoce en menor grado.</w:t>
      </w:r>
    </w:p>
    <w:p w:rsidR="00387F2E" w:rsidRPr="0004485B" w:rsidRDefault="00387F2E" w:rsidP="0004485B">
      <w:pPr>
        <w:pStyle w:val="NormalWeb"/>
        <w:jc w:val="both"/>
        <w:rPr>
          <w:rFonts w:ascii="Arial" w:hAnsi="Arial" w:cs="Arial"/>
        </w:rPr>
      </w:pPr>
      <w:r w:rsidRPr="0004485B">
        <w:rPr>
          <w:rFonts w:ascii="Arial" w:hAnsi="Arial" w:cs="Arial"/>
        </w:rPr>
        <w:t>Pacto Internacional de Derechos Económicos, Sociales y Culturales:</w:t>
      </w:r>
    </w:p>
    <w:p w:rsidR="00387F2E" w:rsidRPr="0004485B" w:rsidRDefault="00387F2E" w:rsidP="0004485B">
      <w:pPr>
        <w:pStyle w:val="sangria"/>
        <w:jc w:val="both"/>
        <w:rPr>
          <w:rFonts w:ascii="Arial" w:hAnsi="Arial" w:cs="Arial"/>
        </w:rPr>
      </w:pPr>
      <w:r w:rsidRPr="0004485B">
        <w:rPr>
          <w:rFonts w:ascii="Arial" w:hAnsi="Arial" w:cs="Arial"/>
        </w:rPr>
        <w:t>Artículo 5.1.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 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rsidR="00387F2E" w:rsidRPr="0004485B" w:rsidRDefault="00387F2E" w:rsidP="0004485B">
      <w:pPr>
        <w:pStyle w:val="NormalWeb"/>
        <w:jc w:val="both"/>
        <w:rPr>
          <w:rFonts w:ascii="Arial" w:hAnsi="Arial" w:cs="Arial"/>
        </w:rPr>
      </w:pPr>
      <w:r w:rsidRPr="0004485B">
        <w:rPr>
          <w:rFonts w:ascii="Arial" w:hAnsi="Arial" w:cs="Arial"/>
        </w:rPr>
        <w:t>Declaración Universal de los Derechos Humanos:</w:t>
      </w:r>
    </w:p>
    <w:p w:rsidR="00387F2E" w:rsidRPr="0004485B" w:rsidRDefault="00387F2E" w:rsidP="0004485B">
      <w:pPr>
        <w:pStyle w:val="sangria"/>
        <w:jc w:val="both"/>
        <w:rPr>
          <w:rFonts w:ascii="Arial" w:hAnsi="Arial" w:cs="Arial"/>
        </w:rPr>
      </w:pPr>
      <w:r w:rsidRPr="0004485B">
        <w:rPr>
          <w:rFonts w:ascii="Arial" w:hAnsi="Arial" w:cs="Arial"/>
        </w:rPr>
        <w:t>Preámbulo: “Considerando que la libertad, la justicia y la paz en el mundo tienen por base el reconocimiento de la dignidad intrínseca y de los derechos iguales e inalienables de todos los miembros de la familia humana... Considerando esencial que los derechos humanos sean protegidos por un régimen de Derecho, a fin de que el hombre no se vea compelido al supremo recurso de la rebelión contra la tiranía y la opresión...Considerando que los pueblos de las Naciones Unidas han reafirmado en la Carta su fe en los derechos fundamentales del hombre, en la dignidad y el valor de la persona humana y en la igualdad de derechos de hombres y mujeres, y se han declarado resueltos a promover el progreso social y a elevar el nivel de vida dentro de un concepto más amplio de la libertad... Considerando que los Estados Miembros se han comprometido a asegurar, en cooperación con la Organización de las Naciones Unidas, el respeto universal y efectivo a los derechos y libertades fundamentales del hombre, y Considerando que una concepción común de estos derechos y libertades es de la mayor importancia para el pleno cumplimiento de dicho compromiso”.</w:t>
      </w:r>
    </w:p>
    <w:p w:rsidR="00387F2E" w:rsidRPr="0004485B" w:rsidRDefault="00387F2E" w:rsidP="0004485B">
      <w:pPr>
        <w:pStyle w:val="sangria"/>
        <w:jc w:val="both"/>
        <w:rPr>
          <w:rFonts w:ascii="Arial" w:hAnsi="Arial" w:cs="Arial"/>
        </w:rPr>
      </w:pPr>
      <w:r w:rsidRPr="0004485B">
        <w:rPr>
          <w:rFonts w:ascii="Arial" w:hAnsi="Arial" w:cs="Arial"/>
        </w:rPr>
        <w:t>Artículo 30. Nada en esta Declaración podrá interpretarse en el sentido de que confiere derecho alguno al Estado, a un grupo o a una persona, para emprender y desarrollar actividades o realizar actos tendientes a la supresión de cualquiera de los derechos y libertades proclamados en esta Declaración.”</w:t>
      </w:r>
    </w:p>
    <w:p w:rsidR="00387F2E" w:rsidRPr="0004485B" w:rsidRDefault="00387F2E" w:rsidP="0004485B">
      <w:pPr>
        <w:pStyle w:val="NormalWeb"/>
        <w:jc w:val="both"/>
        <w:rPr>
          <w:rFonts w:ascii="Arial" w:hAnsi="Arial" w:cs="Arial"/>
        </w:rPr>
      </w:pPr>
      <w:r w:rsidRPr="0004485B">
        <w:rPr>
          <w:rFonts w:ascii="Arial" w:hAnsi="Arial" w:cs="Arial"/>
        </w:rPr>
        <w:lastRenderedPageBreak/>
        <w:t>Convención de Viena sobre Derecho de los Tratados</w:t>
      </w:r>
    </w:p>
    <w:p w:rsidR="00387F2E" w:rsidRPr="0004485B" w:rsidRDefault="00387F2E" w:rsidP="0004485B">
      <w:pPr>
        <w:pStyle w:val="sangria"/>
        <w:jc w:val="both"/>
        <w:rPr>
          <w:rFonts w:ascii="Arial" w:hAnsi="Arial" w:cs="Arial"/>
        </w:rPr>
      </w:pPr>
      <w:r w:rsidRPr="0004485B">
        <w:rPr>
          <w:rFonts w:ascii="Arial" w:hAnsi="Arial" w:cs="Arial"/>
        </w:rPr>
        <w:t xml:space="preserve">Artículo 53. Tratados que estén en oposición con una norma imperativa de derecho internacional general </w:t>
      </w:r>
      <w:r w:rsidRPr="0004485B">
        <w:rPr>
          <w:rStyle w:val="italicas"/>
          <w:rFonts w:ascii="Arial" w:hAnsi="Arial" w:cs="Arial"/>
        </w:rPr>
        <w:t>(</w:t>
      </w:r>
      <w:proofErr w:type="spellStart"/>
      <w:r w:rsidRPr="0004485B">
        <w:rPr>
          <w:rStyle w:val="italicas"/>
          <w:rFonts w:ascii="Arial" w:hAnsi="Arial" w:cs="Arial"/>
        </w:rPr>
        <w:t>ius</w:t>
      </w:r>
      <w:proofErr w:type="spellEnd"/>
      <w:r w:rsidRPr="0004485B">
        <w:rPr>
          <w:rStyle w:val="italicas"/>
          <w:rFonts w:ascii="Arial" w:hAnsi="Arial" w:cs="Arial"/>
        </w:rPr>
        <w:t xml:space="preserve"> </w:t>
      </w:r>
      <w:proofErr w:type="spellStart"/>
      <w:r w:rsidRPr="0004485B">
        <w:rPr>
          <w:rStyle w:val="italicas"/>
          <w:rFonts w:ascii="Arial" w:hAnsi="Arial" w:cs="Arial"/>
        </w:rPr>
        <w:t>cogens</w:t>
      </w:r>
      <w:proofErr w:type="spellEnd"/>
      <w:r w:rsidRPr="0004485B">
        <w:rPr>
          <w:rStyle w:val="italicas"/>
          <w:rFonts w:ascii="Arial" w:hAnsi="Arial" w:cs="Arial"/>
        </w:rPr>
        <w:t>).</w:t>
      </w:r>
    </w:p>
    <w:p w:rsidR="00387F2E" w:rsidRPr="0004485B" w:rsidRDefault="00387F2E" w:rsidP="0004485B">
      <w:pPr>
        <w:pStyle w:val="sangria"/>
        <w:jc w:val="both"/>
        <w:rPr>
          <w:rFonts w:ascii="Arial" w:hAnsi="Arial" w:cs="Arial"/>
        </w:rPr>
      </w:pPr>
      <w:r w:rsidRPr="0004485B">
        <w:rPr>
          <w:rFonts w:ascii="Arial" w:hAnsi="Arial" w:cs="Arial"/>
        </w:rPr>
        <w:t>Es nulo todo tratado que, en el momento de su celebración, esté en oposición con una norma imperativa de derecho internacional general. Para los efectos de la presente Convención una norma imperativa de derecho internacional general es una norma aceptada y reconocida por la comunidad internacional de Estados en su conjunto como no admite acuerdo en contrario y que sólo puede ser modificada por una norma ulterior de derecho internacional general que tenga el mismo carácter.”</w:t>
      </w:r>
    </w:p>
    <w:p w:rsidR="00387F2E" w:rsidRPr="0004485B" w:rsidRDefault="00387F2E" w:rsidP="0004485B">
      <w:pPr>
        <w:pStyle w:val="sangria"/>
        <w:jc w:val="both"/>
        <w:rPr>
          <w:rFonts w:ascii="Arial" w:hAnsi="Arial" w:cs="Arial"/>
        </w:rPr>
      </w:pPr>
      <w:r w:rsidRPr="0004485B">
        <w:rPr>
          <w:rFonts w:ascii="Arial" w:hAnsi="Arial" w:cs="Arial"/>
        </w:rPr>
        <w:t>De lo anterior se confirma la importancia de incorporar explícitamente el principio pro persona en el contenido del artículo 133 Constitucional para que los jueces de cada Estado en sus resoluciones e interpretaciones en materia de derechos humanos, favorezcan a las personas en todo momento, con la protección más amplia y de esta forma, afianzar en México la obligación y responsabilidad de las autoridades que imparten justicia a observar dicho principio, sin importar si éste se deriva de la Constitución Política de los Estados Unidos Mexicanos o de diversos tratados internacionales en los que se reconozcan a los derechos Humanos, con la finalidad única de poder transitar hacia un Estado Constitucional de Derecho en el que se cumplan los estándares reconocidos por la comunidad internacional en la materia.</w:t>
      </w:r>
    </w:p>
    <w:p w:rsidR="00387F2E" w:rsidRPr="0004485B" w:rsidRDefault="00387F2E" w:rsidP="0004485B">
      <w:pPr>
        <w:pStyle w:val="NormalWeb"/>
        <w:jc w:val="both"/>
        <w:rPr>
          <w:rFonts w:ascii="Arial" w:hAnsi="Arial" w:cs="Arial"/>
        </w:rPr>
      </w:pPr>
      <w:r w:rsidRPr="0004485B">
        <w:rPr>
          <w:rStyle w:val="negritas"/>
          <w:rFonts w:ascii="Arial" w:hAnsi="Arial" w:cs="Arial"/>
        </w:rPr>
        <w:t>Fundamento legal</w:t>
      </w:r>
    </w:p>
    <w:p w:rsidR="00387F2E" w:rsidRPr="0004485B" w:rsidRDefault="00387F2E" w:rsidP="0004485B">
      <w:pPr>
        <w:pStyle w:val="NormalWeb"/>
        <w:jc w:val="both"/>
        <w:rPr>
          <w:rFonts w:ascii="Arial" w:hAnsi="Arial" w:cs="Arial"/>
        </w:rPr>
      </w:pPr>
      <w:r w:rsidRPr="0004485B">
        <w:rPr>
          <w:rFonts w:ascii="Arial" w:hAnsi="Arial" w:cs="Arial"/>
        </w:rPr>
        <w:t xml:space="preserve">Por las consideraciones expuestas las diputadas y diputados Lucila </w:t>
      </w:r>
      <w:proofErr w:type="spellStart"/>
      <w:r w:rsidRPr="0004485B">
        <w:rPr>
          <w:rFonts w:ascii="Arial" w:hAnsi="Arial" w:cs="Arial"/>
        </w:rPr>
        <w:t>Garfias</w:t>
      </w:r>
      <w:proofErr w:type="spellEnd"/>
      <w:r w:rsidRPr="0004485B">
        <w:rPr>
          <w:rFonts w:ascii="Arial" w:hAnsi="Arial" w:cs="Arial"/>
        </w:rPr>
        <w:t xml:space="preserve"> Gutiérrez, René Ricardo </w:t>
      </w:r>
      <w:proofErr w:type="spellStart"/>
      <w:r w:rsidRPr="0004485B">
        <w:rPr>
          <w:rFonts w:ascii="Arial" w:hAnsi="Arial" w:cs="Arial"/>
        </w:rPr>
        <w:t>Fujiwara</w:t>
      </w:r>
      <w:proofErr w:type="spellEnd"/>
      <w:r w:rsidRPr="0004485B">
        <w:rPr>
          <w:rFonts w:ascii="Arial" w:hAnsi="Arial" w:cs="Arial"/>
        </w:rPr>
        <w:t xml:space="preserve"> Montelongo, María </w:t>
      </w:r>
      <w:proofErr w:type="spellStart"/>
      <w:r w:rsidRPr="0004485B">
        <w:rPr>
          <w:rFonts w:ascii="Arial" w:hAnsi="Arial" w:cs="Arial"/>
        </w:rPr>
        <w:t>Sanjuana</w:t>
      </w:r>
      <w:proofErr w:type="spellEnd"/>
      <w:r w:rsidRPr="0004485B">
        <w:rPr>
          <w:rFonts w:ascii="Arial" w:hAnsi="Arial" w:cs="Arial"/>
        </w:rPr>
        <w:t xml:space="preserve"> Cerda Franco, Sonia Rincón </w:t>
      </w:r>
      <w:proofErr w:type="spellStart"/>
      <w:r w:rsidRPr="0004485B">
        <w:rPr>
          <w:rFonts w:ascii="Arial" w:hAnsi="Arial" w:cs="Arial"/>
        </w:rPr>
        <w:t>Chanona</w:t>
      </w:r>
      <w:proofErr w:type="spellEnd"/>
      <w:r w:rsidRPr="0004485B">
        <w:rPr>
          <w:rFonts w:ascii="Arial" w:hAnsi="Arial" w:cs="Arial"/>
        </w:rPr>
        <w:t xml:space="preserve">, Dora María </w:t>
      </w:r>
      <w:proofErr w:type="spellStart"/>
      <w:r w:rsidRPr="0004485B">
        <w:rPr>
          <w:rFonts w:ascii="Arial" w:hAnsi="Arial" w:cs="Arial"/>
        </w:rPr>
        <w:t>Talamante</w:t>
      </w:r>
      <w:proofErr w:type="spellEnd"/>
      <w:r w:rsidRPr="0004485B">
        <w:rPr>
          <w:rFonts w:ascii="Arial" w:hAnsi="Arial" w:cs="Arial"/>
        </w:rPr>
        <w:t xml:space="preserve"> Lemas, Cristina Olvera Barrios, Fernando </w:t>
      </w:r>
      <w:proofErr w:type="spellStart"/>
      <w:r w:rsidRPr="0004485B">
        <w:rPr>
          <w:rFonts w:ascii="Arial" w:hAnsi="Arial" w:cs="Arial"/>
        </w:rPr>
        <w:t>Bribiesca</w:t>
      </w:r>
      <w:proofErr w:type="spellEnd"/>
      <w:r w:rsidRPr="0004485B">
        <w:rPr>
          <w:rFonts w:ascii="Arial" w:hAnsi="Arial" w:cs="Arial"/>
        </w:rPr>
        <w:t xml:space="preserve"> Sahagún, Luis Antonio González Roldán, Angelino Caamal Mena y Rubén Benjamín Félix </w:t>
      </w:r>
      <w:proofErr w:type="spellStart"/>
      <w:r w:rsidRPr="0004485B">
        <w:rPr>
          <w:rFonts w:ascii="Arial" w:hAnsi="Arial" w:cs="Arial"/>
        </w:rPr>
        <w:t>Hays</w:t>
      </w:r>
      <w:proofErr w:type="spellEnd"/>
      <w:r w:rsidRPr="0004485B">
        <w:rPr>
          <w:rFonts w:ascii="Arial" w:hAnsi="Arial" w:cs="Arial"/>
        </w:rPr>
        <w:t xml:space="preserve">, integrantes de la LXII Legislatura del Congreso de la Unión por el Grupo Parlamentario Nueva Alianza, con fundamento en los artículos 71, fracción II, de la Constitución Política de los Estados Unidos Mexicanos; y 6, numeral 1, 77 y 78 del Reglamento de la Cámara de Diputados someten a consideración de este pleno, iniciativa con proyecto de decreto por el que se adiciona el artículo 133 de la Constitución de los Estados Unidos Mexicanos. </w:t>
      </w:r>
    </w:p>
    <w:p w:rsidR="00387F2E" w:rsidRPr="0004485B" w:rsidRDefault="00387F2E" w:rsidP="0004485B">
      <w:pPr>
        <w:pStyle w:val="NormalWeb"/>
        <w:jc w:val="both"/>
        <w:rPr>
          <w:rFonts w:ascii="Arial" w:hAnsi="Arial" w:cs="Arial"/>
        </w:rPr>
      </w:pPr>
      <w:r w:rsidRPr="0004485B">
        <w:rPr>
          <w:rStyle w:val="negritas"/>
          <w:rFonts w:ascii="Arial" w:hAnsi="Arial" w:cs="Arial"/>
        </w:rPr>
        <w:t>Decreto por el que se adiciona el artículo 133 de la Constitución Política de los Estados Unidos Mexicanos</w:t>
      </w:r>
    </w:p>
    <w:p w:rsidR="00387F2E" w:rsidRPr="0004485B" w:rsidRDefault="00387F2E" w:rsidP="0004485B">
      <w:pPr>
        <w:pStyle w:val="NormalWeb"/>
        <w:jc w:val="both"/>
        <w:rPr>
          <w:rFonts w:ascii="Arial" w:hAnsi="Arial" w:cs="Arial"/>
        </w:rPr>
      </w:pPr>
      <w:r w:rsidRPr="0004485B">
        <w:rPr>
          <w:rStyle w:val="negritas"/>
          <w:rFonts w:ascii="Arial" w:hAnsi="Arial" w:cs="Arial"/>
        </w:rPr>
        <w:t>Uno.</w:t>
      </w:r>
      <w:r w:rsidRPr="0004485B">
        <w:rPr>
          <w:rFonts w:ascii="Arial" w:hAnsi="Arial" w:cs="Arial"/>
        </w:rPr>
        <w:t xml:space="preserve"> Se reforma el artículo 133 de la Constitución Política de los Estados Unidos Mexicanos, para quedar como sigue:</w:t>
      </w:r>
    </w:p>
    <w:p w:rsidR="00387F2E" w:rsidRPr="0004485B" w:rsidRDefault="00387F2E" w:rsidP="0004485B">
      <w:pPr>
        <w:pStyle w:val="NormalWeb"/>
        <w:jc w:val="both"/>
        <w:rPr>
          <w:rFonts w:ascii="Arial" w:hAnsi="Arial" w:cs="Arial"/>
        </w:rPr>
      </w:pPr>
      <w:r w:rsidRPr="0004485B">
        <w:rPr>
          <w:rStyle w:val="negritas"/>
          <w:rFonts w:ascii="Arial" w:hAnsi="Arial" w:cs="Arial"/>
        </w:rPr>
        <w:t>Artículo 133.</w:t>
      </w:r>
      <w:r w:rsidRPr="0004485B">
        <w:rPr>
          <w:rFonts w:ascii="Arial" w:hAnsi="Arial" w:cs="Arial"/>
        </w:rPr>
        <w:t xml:space="preserve"> Esta Constitución, las leyes del Congreso de la Unión que emanen de ella y todos los Tratados que estén de acuerdo con la misma, celebrados y que </w:t>
      </w:r>
      <w:r w:rsidRPr="0004485B">
        <w:rPr>
          <w:rFonts w:ascii="Arial" w:hAnsi="Arial" w:cs="Arial"/>
        </w:rPr>
        <w:lastRenderedPageBreak/>
        <w:t>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 En materia de derechos humanos, se favorecerá en todo tiempo a las personas la protección más amplia.</w:t>
      </w:r>
    </w:p>
    <w:p w:rsidR="00387F2E" w:rsidRPr="0004485B" w:rsidRDefault="00387F2E" w:rsidP="0004485B">
      <w:pPr>
        <w:pStyle w:val="centrar"/>
        <w:jc w:val="both"/>
        <w:rPr>
          <w:rFonts w:ascii="Arial" w:hAnsi="Arial" w:cs="Arial"/>
        </w:rPr>
      </w:pPr>
      <w:r w:rsidRPr="0004485B">
        <w:rPr>
          <w:rFonts w:ascii="Arial" w:hAnsi="Arial" w:cs="Arial"/>
        </w:rPr>
        <w:t>Artículo Transitorio</w:t>
      </w:r>
    </w:p>
    <w:p w:rsidR="00387F2E" w:rsidRPr="0004485B" w:rsidRDefault="00387F2E" w:rsidP="0004485B">
      <w:pPr>
        <w:pStyle w:val="NormalWeb"/>
        <w:jc w:val="both"/>
        <w:rPr>
          <w:rFonts w:ascii="Arial" w:hAnsi="Arial" w:cs="Arial"/>
        </w:rPr>
      </w:pPr>
      <w:r w:rsidRPr="0004485B">
        <w:rPr>
          <w:rStyle w:val="negritas"/>
          <w:rFonts w:ascii="Arial" w:hAnsi="Arial" w:cs="Arial"/>
        </w:rPr>
        <w:t>Artículo Único.</w:t>
      </w:r>
      <w:r w:rsidRPr="0004485B">
        <w:rPr>
          <w:rFonts w:ascii="Arial" w:hAnsi="Arial" w:cs="Arial"/>
        </w:rPr>
        <w:t xml:space="preserve"> El presente decreto entrará en vigor al día siguiente de su publicación en el Diario Oficial de la Federación.</w:t>
      </w:r>
    </w:p>
    <w:p w:rsidR="00387F2E" w:rsidRPr="0004485B" w:rsidRDefault="00387F2E" w:rsidP="0004485B">
      <w:pPr>
        <w:pStyle w:val="derecha"/>
        <w:jc w:val="both"/>
        <w:rPr>
          <w:rFonts w:ascii="Arial" w:hAnsi="Arial" w:cs="Arial"/>
        </w:rPr>
      </w:pPr>
      <w:r w:rsidRPr="0004485B">
        <w:rPr>
          <w:rFonts w:ascii="Arial" w:hAnsi="Arial" w:cs="Arial"/>
        </w:rPr>
        <w:t>Dado en la Cámara de Diputados del honorable Congreso de la Unión, el 2 de octubre de 2012.</w:t>
      </w:r>
    </w:p>
    <w:p w:rsidR="00387F2E" w:rsidRPr="0004485B" w:rsidRDefault="00387F2E" w:rsidP="0004485B">
      <w:pPr>
        <w:pStyle w:val="atentamente"/>
        <w:jc w:val="both"/>
        <w:rPr>
          <w:rFonts w:ascii="Arial" w:hAnsi="Arial" w:cs="Arial"/>
        </w:rPr>
      </w:pPr>
      <w:r w:rsidRPr="0004485B">
        <w:rPr>
          <w:rFonts w:ascii="Arial" w:hAnsi="Arial" w:cs="Arial"/>
        </w:rPr>
        <w:t xml:space="preserve">Diputado René </w:t>
      </w:r>
      <w:proofErr w:type="spellStart"/>
      <w:r w:rsidRPr="0004485B">
        <w:rPr>
          <w:rFonts w:ascii="Arial" w:hAnsi="Arial" w:cs="Arial"/>
        </w:rPr>
        <w:t>Fujiwara</w:t>
      </w:r>
      <w:proofErr w:type="spellEnd"/>
      <w:r w:rsidRPr="0004485B">
        <w:rPr>
          <w:rFonts w:ascii="Arial" w:hAnsi="Arial" w:cs="Arial"/>
        </w:rPr>
        <w:t xml:space="preserve"> Montelongo (rúbrica)</w:t>
      </w:r>
    </w:p>
    <w:p w:rsidR="008068BD" w:rsidRPr="0004485B" w:rsidRDefault="0004485B" w:rsidP="0004485B">
      <w:pPr>
        <w:jc w:val="both"/>
        <w:rPr>
          <w:rFonts w:ascii="Arial" w:hAnsi="Arial" w:cs="Arial"/>
        </w:rPr>
      </w:pPr>
    </w:p>
    <w:sectPr w:rsidR="008068BD" w:rsidRPr="000448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2E"/>
    <w:rsid w:val="0004485B"/>
    <w:rsid w:val="00387F2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87F2E"/>
  </w:style>
  <w:style w:type="paragraph" w:customStyle="1" w:styleId="sangria">
    <w:name w:val="sangria"/>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387F2E"/>
  </w:style>
  <w:style w:type="paragraph" w:customStyle="1" w:styleId="centrar">
    <w:name w:val="centrar"/>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87F2E"/>
  </w:style>
  <w:style w:type="paragraph" w:customStyle="1" w:styleId="sangria">
    <w:name w:val="sangria"/>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387F2E"/>
  </w:style>
  <w:style w:type="paragraph" w:customStyle="1" w:styleId="centrar">
    <w:name w:val="centrar"/>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387F2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80478">
      <w:bodyDiv w:val="1"/>
      <w:marLeft w:val="0"/>
      <w:marRight w:val="0"/>
      <w:marTop w:val="0"/>
      <w:marBottom w:val="0"/>
      <w:divBdr>
        <w:top w:val="none" w:sz="0" w:space="0" w:color="auto"/>
        <w:left w:val="none" w:sz="0" w:space="0" w:color="auto"/>
        <w:bottom w:val="none" w:sz="0" w:space="0" w:color="auto"/>
        <w:right w:val="none" w:sz="0" w:space="0" w:color="auto"/>
      </w:divBdr>
      <w:divsChild>
        <w:div w:id="2011786530">
          <w:marLeft w:val="0"/>
          <w:marRight w:val="0"/>
          <w:marTop w:val="0"/>
          <w:marBottom w:val="0"/>
          <w:divBdr>
            <w:top w:val="none" w:sz="0" w:space="0" w:color="auto"/>
            <w:left w:val="none" w:sz="0" w:space="0" w:color="auto"/>
            <w:bottom w:val="none" w:sz="0" w:space="0" w:color="auto"/>
            <w:right w:val="none" w:sz="0" w:space="0" w:color="auto"/>
          </w:divBdr>
          <w:divsChild>
            <w:div w:id="179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2600</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2012-10-12T17:40:00Z</dcterms:created>
  <dcterms:modified xsi:type="dcterms:W3CDTF">2012-10-12T21:52:00Z</dcterms:modified>
</cp:coreProperties>
</file>