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3FE" w:rsidRPr="00C5245D" w:rsidRDefault="001C53FE" w:rsidP="001C53FE">
      <w:pPr>
        <w:pStyle w:val="versales"/>
        <w:rPr>
          <w:rFonts w:ascii="Arial" w:hAnsi="Arial" w:cs="Arial"/>
          <w:color w:val="auto"/>
        </w:rPr>
      </w:pPr>
      <w:bookmarkStart w:id="0" w:name="DictamenNOIni16"/>
      <w:bookmarkStart w:id="1" w:name="_GoBack"/>
      <w:r w:rsidRPr="00C5245D">
        <w:rPr>
          <w:rFonts w:ascii="Arial" w:hAnsi="Arial" w:cs="Arial"/>
          <w:color w:val="auto"/>
        </w:rPr>
        <w:t xml:space="preserve">De la Comisión de Ciencia y Tecnología, con puntos de acuerdo por los que se desecha la iniciativa con proyecto de decreto por el que se reforman los artículos 6 y 13 de la Ley de Ciencia y Tecnología </w:t>
      </w:r>
    </w:p>
    <w:bookmarkEnd w:id="1"/>
    <w:p w:rsidR="001C53FE" w:rsidRPr="00C5245D" w:rsidRDefault="001C53FE" w:rsidP="001C53FE">
      <w:pPr>
        <w:pStyle w:val="NormalWeb"/>
        <w:rPr>
          <w:rFonts w:ascii="Arial" w:hAnsi="Arial" w:cs="Arial"/>
          <w:sz w:val="22"/>
          <w:szCs w:val="22"/>
        </w:rPr>
      </w:pPr>
      <w:r w:rsidRPr="00C5245D">
        <w:rPr>
          <w:rStyle w:val="negritas"/>
          <w:rFonts w:ascii="Arial" w:hAnsi="Arial" w:cs="Arial"/>
          <w:sz w:val="22"/>
          <w:szCs w:val="22"/>
        </w:rPr>
        <w:t>Honorable Asamblea:</w:t>
      </w:r>
      <w:r w:rsidRPr="00C5245D">
        <w:rPr>
          <w:rFonts w:ascii="Arial" w:hAnsi="Arial" w:cs="Arial"/>
          <w:sz w:val="22"/>
          <w:szCs w:val="22"/>
        </w:rPr>
        <w:t xml:space="preserve"> </w:t>
      </w:r>
    </w:p>
    <w:p w:rsidR="001C53FE" w:rsidRPr="00C5245D" w:rsidRDefault="001C53FE" w:rsidP="001C53FE">
      <w:pPr>
        <w:pStyle w:val="NormalWeb"/>
        <w:rPr>
          <w:rFonts w:ascii="Arial" w:hAnsi="Arial" w:cs="Arial"/>
          <w:sz w:val="22"/>
          <w:szCs w:val="22"/>
        </w:rPr>
      </w:pPr>
      <w:r w:rsidRPr="00C5245D">
        <w:rPr>
          <w:rFonts w:ascii="Arial" w:hAnsi="Arial" w:cs="Arial"/>
          <w:sz w:val="22"/>
          <w:szCs w:val="22"/>
        </w:rPr>
        <w:t>A la Comisión de Ciencia y Tecnología de la LXI Legislatura le fue turnada –para su estudio y dictamen– la iniciativa con proyecto de decreto por el que se reforman los artículos 6 y 13 de la Ley de Ciencia y Tecnología a cargo de la diputada Blanca Estela Jiménez Hernández del Grupo Parlamentario del Partido Revolucionario Institucional.</w:t>
      </w:r>
    </w:p>
    <w:p w:rsidR="001C53FE" w:rsidRPr="00C5245D" w:rsidRDefault="001C53FE" w:rsidP="001C53FE">
      <w:pPr>
        <w:pStyle w:val="NormalWeb"/>
        <w:rPr>
          <w:rFonts w:ascii="Arial" w:hAnsi="Arial" w:cs="Arial"/>
          <w:sz w:val="22"/>
          <w:szCs w:val="22"/>
        </w:rPr>
      </w:pPr>
      <w:r w:rsidRPr="00C5245D">
        <w:rPr>
          <w:rFonts w:ascii="Arial" w:hAnsi="Arial" w:cs="Arial"/>
          <w:sz w:val="22"/>
          <w:szCs w:val="22"/>
        </w:rPr>
        <w:t>Esta comisión dictaminadora con fundamento en lo dispuesto en los artículos 39 y 45, numeral 6, incisos e) y f), de la Ley Orgánica del Congreso General de los Estados Unidos Mexicanos; así como los artículos 80, 82, numeral 1, 85, 157 numeral 1, fracción I, 158, numeral 1, fracción IV, 176, 182, numeral 1, y demás relativos del Reglamento de la Cámara de Diputados, presenta a la consideración de esta honorable asamblea, el siguiente dictamen.</w:t>
      </w:r>
    </w:p>
    <w:p w:rsidR="001C53FE" w:rsidRPr="00C5245D" w:rsidRDefault="001C53FE" w:rsidP="001C53FE">
      <w:pPr>
        <w:pStyle w:val="centrar"/>
        <w:rPr>
          <w:rFonts w:ascii="Arial" w:hAnsi="Arial" w:cs="Arial"/>
          <w:sz w:val="22"/>
          <w:szCs w:val="22"/>
        </w:rPr>
      </w:pPr>
      <w:r w:rsidRPr="00C5245D">
        <w:rPr>
          <w:rFonts w:ascii="Arial" w:hAnsi="Arial" w:cs="Arial"/>
          <w:sz w:val="22"/>
          <w:szCs w:val="22"/>
        </w:rPr>
        <w:t>I. Antecedentes</w:t>
      </w:r>
    </w:p>
    <w:p w:rsidR="001C53FE" w:rsidRPr="00C5245D" w:rsidRDefault="001C53FE" w:rsidP="001C53FE">
      <w:pPr>
        <w:pStyle w:val="NormalWeb"/>
        <w:rPr>
          <w:rFonts w:ascii="Arial" w:hAnsi="Arial" w:cs="Arial"/>
          <w:sz w:val="22"/>
          <w:szCs w:val="22"/>
        </w:rPr>
      </w:pPr>
      <w:r w:rsidRPr="00C5245D">
        <w:rPr>
          <w:rFonts w:ascii="Arial" w:hAnsi="Arial" w:cs="Arial"/>
          <w:sz w:val="22"/>
          <w:szCs w:val="22"/>
        </w:rPr>
        <w:t>1. En sesión plenaria celebrada el 29 de abril de 2011 por la Cámara de Diputados del honorable Congreso de la Unión, la diputada Blanca Estela Jiménez Hernández del Grupo Parlamentario del Partido Revolucionario Institucional., presentó ante el pleno de esta soberanía, la iniciativa con proyecto de decreto por el que se reforman los artículos 6 y 13 de la Ley de Ciencia y Tecnología.</w:t>
      </w:r>
    </w:p>
    <w:p w:rsidR="001C53FE" w:rsidRPr="00C5245D" w:rsidRDefault="001C53FE" w:rsidP="001C53FE">
      <w:pPr>
        <w:pStyle w:val="NormalWeb"/>
        <w:rPr>
          <w:rFonts w:ascii="Arial" w:hAnsi="Arial" w:cs="Arial"/>
          <w:sz w:val="22"/>
          <w:szCs w:val="22"/>
        </w:rPr>
      </w:pPr>
      <w:r w:rsidRPr="00C5245D">
        <w:rPr>
          <w:rFonts w:ascii="Arial" w:hAnsi="Arial" w:cs="Arial"/>
          <w:sz w:val="22"/>
          <w:szCs w:val="22"/>
        </w:rPr>
        <w:t>2. El 13 de mayo de 2011, la Presidencia de la Mesa Directiva de la Cámara de Diputados turnó la Iniciativa en comento a la Comisión de Ciencia y Tecnología, para el estudio, análisis y elaboración del dictamen correspondiente.</w:t>
      </w:r>
    </w:p>
    <w:p w:rsidR="001C53FE" w:rsidRPr="00C5245D" w:rsidRDefault="001C53FE" w:rsidP="001C53FE">
      <w:pPr>
        <w:pStyle w:val="centrar"/>
        <w:rPr>
          <w:rFonts w:ascii="Arial" w:hAnsi="Arial" w:cs="Arial"/>
          <w:sz w:val="22"/>
          <w:szCs w:val="22"/>
        </w:rPr>
      </w:pPr>
      <w:r w:rsidRPr="00C5245D">
        <w:rPr>
          <w:rFonts w:ascii="Arial" w:hAnsi="Arial" w:cs="Arial"/>
          <w:sz w:val="22"/>
          <w:szCs w:val="22"/>
        </w:rPr>
        <w:t>II. Contenido de la iniciativa</w:t>
      </w:r>
    </w:p>
    <w:p w:rsidR="001C53FE" w:rsidRPr="00C5245D" w:rsidRDefault="001C53FE" w:rsidP="001C53FE">
      <w:pPr>
        <w:pStyle w:val="NormalWeb"/>
        <w:rPr>
          <w:rFonts w:ascii="Arial" w:hAnsi="Arial" w:cs="Arial"/>
          <w:sz w:val="22"/>
          <w:szCs w:val="22"/>
        </w:rPr>
      </w:pPr>
      <w:r w:rsidRPr="00C5245D">
        <w:rPr>
          <w:rFonts w:ascii="Arial" w:hAnsi="Arial" w:cs="Arial"/>
          <w:sz w:val="22"/>
          <w:szCs w:val="22"/>
        </w:rPr>
        <w:t>Debido a la importancia de la ciencia y tecnología en la configuración de condiciones ambientes y formas de vida a escala global, la presente iniciativa propone definir estrategias de impulso a la investigación e innovación tecnológicas en la población de educación media superior y superior.</w:t>
      </w:r>
    </w:p>
    <w:p w:rsidR="001C53FE" w:rsidRPr="00C5245D" w:rsidRDefault="001C53FE" w:rsidP="001C53FE">
      <w:pPr>
        <w:pStyle w:val="NormalWeb"/>
        <w:rPr>
          <w:rFonts w:ascii="Arial" w:hAnsi="Arial" w:cs="Arial"/>
          <w:sz w:val="22"/>
          <w:szCs w:val="22"/>
        </w:rPr>
      </w:pPr>
      <w:r w:rsidRPr="00C5245D">
        <w:rPr>
          <w:rFonts w:ascii="Arial" w:hAnsi="Arial" w:cs="Arial"/>
          <w:sz w:val="22"/>
          <w:szCs w:val="22"/>
        </w:rPr>
        <w:t>Su objetivo es que el gobierno federal apoye la investigación científica, el desarrollo tecnológico y la innovación mediante la creación de proyectos productivos tecnológicos y científicos dirigidos a la población de educación media superior y superior.</w:t>
      </w:r>
    </w:p>
    <w:p w:rsidR="001C53FE" w:rsidRPr="00C5245D" w:rsidRDefault="001C53FE" w:rsidP="001C53FE">
      <w:pPr>
        <w:pStyle w:val="centrar"/>
        <w:rPr>
          <w:rFonts w:ascii="Arial" w:hAnsi="Arial" w:cs="Arial"/>
          <w:sz w:val="22"/>
          <w:szCs w:val="22"/>
        </w:rPr>
      </w:pPr>
      <w:r w:rsidRPr="00C5245D">
        <w:rPr>
          <w:rFonts w:ascii="Arial" w:hAnsi="Arial" w:cs="Arial"/>
          <w:sz w:val="22"/>
          <w:szCs w:val="22"/>
        </w:rPr>
        <w:t>III. Consideraciones</w:t>
      </w:r>
    </w:p>
    <w:p w:rsidR="001C53FE" w:rsidRPr="00C5245D" w:rsidRDefault="001C53FE" w:rsidP="001C53FE">
      <w:pPr>
        <w:pStyle w:val="NormalWeb"/>
        <w:rPr>
          <w:rFonts w:ascii="Arial" w:hAnsi="Arial" w:cs="Arial"/>
          <w:sz w:val="22"/>
          <w:szCs w:val="22"/>
        </w:rPr>
      </w:pPr>
      <w:r w:rsidRPr="00C5245D">
        <w:rPr>
          <w:rStyle w:val="negritas"/>
          <w:rFonts w:ascii="Arial" w:hAnsi="Arial" w:cs="Arial"/>
          <w:sz w:val="22"/>
          <w:szCs w:val="22"/>
        </w:rPr>
        <w:t>Uno.</w:t>
      </w:r>
      <w:r w:rsidRPr="00C5245D">
        <w:rPr>
          <w:rFonts w:ascii="Arial" w:hAnsi="Arial" w:cs="Arial"/>
          <w:sz w:val="22"/>
          <w:szCs w:val="22"/>
        </w:rPr>
        <w:t xml:space="preserve"> La Comisión dictaminadora confirma la idea central de la iniciativa sobre la importancia de la ciencia y tecnología para el desarrollo de la sociedad, y por lo tanto de un país. Vivimos en la llamada “sociedad del conocimiento” en tanto la generación, el procesamiento y la transmisión de información: datos, las imágenes, los símbolos, la ideología, los valores, la cultura, la ciencia y la tecnología, se convierten en las fuentes fundamentales de la productividad y el poder.</w:t>
      </w:r>
    </w:p>
    <w:p w:rsidR="001C53FE" w:rsidRPr="00C5245D" w:rsidRDefault="001C53FE" w:rsidP="001C53FE">
      <w:pPr>
        <w:pStyle w:val="NormalWeb"/>
        <w:rPr>
          <w:rFonts w:ascii="Arial" w:hAnsi="Arial" w:cs="Arial"/>
          <w:sz w:val="22"/>
          <w:szCs w:val="22"/>
        </w:rPr>
      </w:pPr>
      <w:r w:rsidRPr="00C5245D">
        <w:rPr>
          <w:rFonts w:ascii="Arial" w:hAnsi="Arial" w:cs="Arial"/>
          <w:sz w:val="22"/>
          <w:szCs w:val="22"/>
        </w:rPr>
        <w:lastRenderedPageBreak/>
        <w:t>El bien más preciado en esta sociedad no es ya la infraestructura, las máquinas y los equipos, sino “la capacidad del individuo para adquirir, crear, distribuir y aplicar creativa, responsable y críticamente los conocimientos en un contexto donde el ritmo tan rápido de la innovación científica y tecnológica los hace velozmente obsoletos”.</w:t>
      </w:r>
      <w:r w:rsidRPr="00C5245D">
        <w:rPr>
          <w:rStyle w:val="superscript"/>
          <w:rFonts w:ascii="Arial" w:hAnsi="Arial" w:cs="Arial"/>
          <w:sz w:val="15"/>
          <w:szCs w:val="15"/>
        </w:rPr>
        <w:t>1</w:t>
      </w:r>
      <w:r w:rsidRPr="00C5245D">
        <w:rPr>
          <w:rFonts w:ascii="Arial" w:hAnsi="Arial" w:cs="Arial"/>
          <w:sz w:val="22"/>
          <w:szCs w:val="22"/>
        </w:rPr>
        <w:t xml:space="preserve"> </w:t>
      </w:r>
    </w:p>
    <w:p w:rsidR="001C53FE" w:rsidRPr="00C5245D" w:rsidRDefault="001C53FE" w:rsidP="001C53FE">
      <w:pPr>
        <w:pStyle w:val="NormalWeb"/>
        <w:rPr>
          <w:rFonts w:ascii="Arial" w:hAnsi="Arial" w:cs="Arial"/>
          <w:sz w:val="22"/>
          <w:szCs w:val="22"/>
        </w:rPr>
      </w:pPr>
      <w:r w:rsidRPr="00C5245D">
        <w:rPr>
          <w:rFonts w:ascii="Arial" w:hAnsi="Arial" w:cs="Arial"/>
          <w:sz w:val="22"/>
          <w:szCs w:val="22"/>
        </w:rPr>
        <w:t>Por ello resulta necesario, como afirma la iniciativa, proporcionar a la ciudadanía un entendimiento profundo de las actividades científicas y tecnológicas, así como sus aplicaciones y el beneficio de su incorporación a nuestras actividades diarias.</w:t>
      </w:r>
    </w:p>
    <w:p w:rsidR="001C53FE" w:rsidRPr="00C5245D" w:rsidRDefault="001C53FE" w:rsidP="001C53FE">
      <w:pPr>
        <w:pStyle w:val="NormalWeb"/>
        <w:rPr>
          <w:rFonts w:ascii="Arial" w:hAnsi="Arial" w:cs="Arial"/>
          <w:sz w:val="22"/>
          <w:szCs w:val="22"/>
        </w:rPr>
      </w:pPr>
      <w:r w:rsidRPr="00C5245D">
        <w:rPr>
          <w:rStyle w:val="negritas"/>
          <w:rFonts w:ascii="Arial" w:hAnsi="Arial" w:cs="Arial"/>
          <w:sz w:val="22"/>
          <w:szCs w:val="22"/>
        </w:rPr>
        <w:t>Dos.</w:t>
      </w:r>
      <w:r w:rsidRPr="00C5245D">
        <w:rPr>
          <w:rFonts w:ascii="Arial" w:hAnsi="Arial" w:cs="Arial"/>
          <w:sz w:val="22"/>
          <w:szCs w:val="22"/>
        </w:rPr>
        <w:t xml:space="preserve"> Sin embargo, como bien afirma la Iniciativa, en México el panorama es adverso para el desarrollo de la ciencia y tecnología, en virtud de que la inversión que se ha hecho en ciencia, tecnología e innovación es, a todas luces, insuficiente. Como resultado, el crecimiento potencial de su economía es inferior al deseado y necesario para alcanzar el nivel de otros países y lograr una competitividad comparable a la de otras economías emergentes.</w:t>
      </w:r>
    </w:p>
    <w:p w:rsidR="001C53FE" w:rsidRPr="00C5245D" w:rsidRDefault="001C53FE" w:rsidP="001C53FE">
      <w:pPr>
        <w:pStyle w:val="NormalWeb"/>
        <w:rPr>
          <w:rFonts w:ascii="Arial" w:hAnsi="Arial" w:cs="Arial"/>
          <w:sz w:val="22"/>
          <w:szCs w:val="22"/>
        </w:rPr>
      </w:pPr>
      <w:r w:rsidRPr="00C5245D">
        <w:rPr>
          <w:rFonts w:ascii="Arial" w:hAnsi="Arial" w:cs="Arial"/>
          <w:sz w:val="22"/>
          <w:szCs w:val="22"/>
        </w:rPr>
        <w:t>De acuerdo con los indicadores disponibles, el nivel general de la innovación en México es realmente bajo, no solamente en comparación con otros países de la OCDE, sino también con las economías emergentes más dinámicas. El gasto en Investigación y Desarrollo como porcentaje del PIB sigue siendo inferior al 0.5 por ciento, en contraste con un promedio superior al 2 por ciento en la zona OCDE y cercano al 1.5 por ciento en China.</w:t>
      </w:r>
      <w:r w:rsidRPr="00C5245D">
        <w:rPr>
          <w:rStyle w:val="superscript"/>
          <w:rFonts w:ascii="Arial" w:hAnsi="Arial" w:cs="Arial"/>
          <w:sz w:val="15"/>
          <w:szCs w:val="15"/>
        </w:rPr>
        <w:t>2</w:t>
      </w:r>
      <w:r w:rsidRPr="00C5245D">
        <w:rPr>
          <w:rFonts w:ascii="Arial" w:hAnsi="Arial" w:cs="Arial"/>
          <w:sz w:val="22"/>
          <w:szCs w:val="22"/>
        </w:rPr>
        <w:t xml:space="preserve"> </w:t>
      </w:r>
    </w:p>
    <w:p w:rsidR="001C53FE" w:rsidRPr="00C5245D" w:rsidRDefault="001C53FE" w:rsidP="001C53FE">
      <w:pPr>
        <w:pStyle w:val="NormalWeb"/>
        <w:rPr>
          <w:rFonts w:ascii="Arial" w:hAnsi="Arial" w:cs="Arial"/>
          <w:sz w:val="22"/>
          <w:szCs w:val="22"/>
        </w:rPr>
      </w:pPr>
      <w:r w:rsidRPr="00C5245D">
        <w:rPr>
          <w:rFonts w:ascii="Arial" w:hAnsi="Arial" w:cs="Arial"/>
          <w:sz w:val="22"/>
          <w:szCs w:val="22"/>
        </w:rPr>
        <w:t xml:space="preserve">En materia de competitividad, la comisión dictaminadora actualiza algunos de los datos con los nuevos resultados disponibles del </w:t>
      </w:r>
      <w:proofErr w:type="spellStart"/>
      <w:r w:rsidRPr="00C5245D">
        <w:rPr>
          <w:rFonts w:ascii="Arial" w:hAnsi="Arial" w:cs="Arial"/>
          <w:sz w:val="22"/>
          <w:szCs w:val="22"/>
        </w:rPr>
        <w:t>Inegi</w:t>
      </w:r>
      <w:proofErr w:type="spellEnd"/>
      <w:r w:rsidRPr="00C5245D">
        <w:rPr>
          <w:rFonts w:ascii="Arial" w:hAnsi="Arial" w:cs="Arial"/>
          <w:sz w:val="22"/>
          <w:szCs w:val="22"/>
        </w:rPr>
        <w:t xml:space="preserve"> y la OCDE. De acuerdo al Informe de la OCDE de 2010, de 38 países registrados, México está en el último lugar en intensidad de inversión y desarrollo con cifras de 2007 o último año disponible. De igual manera encontramos que en 2007 el dato es de 0.9 investigadores por cada mil de la población económicamente activa, PEA. De acuerdo a estadísticas del </w:t>
      </w:r>
      <w:proofErr w:type="spellStart"/>
      <w:r w:rsidRPr="00C5245D">
        <w:rPr>
          <w:rFonts w:ascii="Arial" w:hAnsi="Arial" w:cs="Arial"/>
          <w:sz w:val="22"/>
          <w:szCs w:val="22"/>
        </w:rPr>
        <w:t>Inegi</w:t>
      </w:r>
      <w:proofErr w:type="spellEnd"/>
      <w:r w:rsidRPr="00C5245D">
        <w:rPr>
          <w:rFonts w:ascii="Arial" w:hAnsi="Arial" w:cs="Arial"/>
          <w:sz w:val="22"/>
          <w:szCs w:val="22"/>
        </w:rPr>
        <w:t xml:space="preserve"> en 2011 la PEA es de 48 millones 228mil 962 lo cual nos da un aproximado de 48 mil investigadores en el país. La proporción de tales investigadores se divide entre el SNI y el sector </w:t>
      </w:r>
      <w:proofErr w:type="gramStart"/>
      <w:r w:rsidRPr="00C5245D">
        <w:rPr>
          <w:rFonts w:ascii="Arial" w:hAnsi="Arial" w:cs="Arial"/>
          <w:sz w:val="22"/>
          <w:szCs w:val="22"/>
        </w:rPr>
        <w:t>empleo</w:t>
      </w:r>
      <w:r w:rsidRPr="00C5245D">
        <w:rPr>
          <w:rStyle w:val="superscript"/>
          <w:rFonts w:ascii="Arial" w:hAnsi="Arial" w:cs="Arial"/>
          <w:sz w:val="15"/>
          <w:szCs w:val="15"/>
        </w:rPr>
        <w:t>3</w:t>
      </w:r>
      <w:r w:rsidRPr="00C5245D">
        <w:rPr>
          <w:rFonts w:ascii="Arial" w:hAnsi="Arial" w:cs="Arial"/>
          <w:sz w:val="22"/>
          <w:szCs w:val="22"/>
        </w:rPr>
        <w:t xml:space="preserve"> ,</w:t>
      </w:r>
      <w:proofErr w:type="gramEnd"/>
      <w:r w:rsidRPr="00C5245D">
        <w:rPr>
          <w:rFonts w:ascii="Arial" w:hAnsi="Arial" w:cs="Arial"/>
          <w:sz w:val="22"/>
          <w:szCs w:val="22"/>
        </w:rPr>
        <w:t xml:space="preserve"> 15 mil 565 y 37 mil 949 investigadores, respectivamente, de acuerdo al Informe General de la Ciencia y la Tecnología de 2009.</w:t>
      </w:r>
    </w:p>
    <w:p w:rsidR="001C53FE" w:rsidRPr="00C5245D" w:rsidRDefault="001C53FE" w:rsidP="001C53FE">
      <w:pPr>
        <w:pStyle w:val="NormalWeb"/>
        <w:rPr>
          <w:rFonts w:ascii="Arial" w:hAnsi="Arial" w:cs="Arial"/>
          <w:sz w:val="22"/>
          <w:szCs w:val="22"/>
        </w:rPr>
      </w:pPr>
      <w:r w:rsidRPr="00C5245D">
        <w:rPr>
          <w:rFonts w:ascii="Arial" w:hAnsi="Arial" w:cs="Arial"/>
          <w:sz w:val="22"/>
          <w:szCs w:val="22"/>
        </w:rPr>
        <w:t>Por otra parte, con datos de 2008 se registró en México la solicitud de 16 mil 581 patentes, tan sólo 685 solicitadas por nacionales México, de las cuales hubo 576 concedidas, que por cierto están concentradas en entidades específicas: Distrito Federal (219), Nuevo León (97), Jalisco (73) y estado de México (51).</w:t>
      </w:r>
      <w:r w:rsidRPr="00C5245D">
        <w:rPr>
          <w:rStyle w:val="superscript"/>
          <w:rFonts w:ascii="Arial" w:hAnsi="Arial" w:cs="Arial"/>
          <w:sz w:val="15"/>
          <w:szCs w:val="15"/>
        </w:rPr>
        <w:t>4</w:t>
      </w:r>
      <w:r w:rsidRPr="00C5245D">
        <w:rPr>
          <w:rFonts w:ascii="Arial" w:hAnsi="Arial" w:cs="Arial"/>
          <w:sz w:val="22"/>
          <w:szCs w:val="22"/>
        </w:rPr>
        <w:t xml:space="preserve"> La lenta o escasa mejoría de los indicadores de patentes en México sigue mostrando que el nivel de inversión en innovación y desarrollo tecnológico aún no alcanza el nivel recomendado por los principales organismos internacionales.</w:t>
      </w:r>
    </w:p>
    <w:p w:rsidR="001C53FE" w:rsidRPr="00C5245D" w:rsidRDefault="001C53FE" w:rsidP="001C53FE">
      <w:pPr>
        <w:pStyle w:val="NormalWeb"/>
        <w:rPr>
          <w:rFonts w:ascii="Arial" w:hAnsi="Arial" w:cs="Arial"/>
          <w:sz w:val="22"/>
          <w:szCs w:val="22"/>
        </w:rPr>
      </w:pPr>
      <w:r w:rsidRPr="00C5245D">
        <w:rPr>
          <w:rStyle w:val="negritas"/>
          <w:rFonts w:ascii="Arial" w:hAnsi="Arial" w:cs="Arial"/>
          <w:sz w:val="22"/>
          <w:szCs w:val="22"/>
        </w:rPr>
        <w:t>Tres.</w:t>
      </w:r>
      <w:r w:rsidRPr="00C5245D">
        <w:rPr>
          <w:rFonts w:ascii="Arial" w:hAnsi="Arial" w:cs="Arial"/>
          <w:sz w:val="22"/>
          <w:szCs w:val="22"/>
        </w:rPr>
        <w:t xml:space="preserve"> De ahí la importancia de detectar, orientar e impulsar el talento y las capacidades de los jóvenes desde la educación media superior y superior hacia actividades relacionadas con la investigación y el desarrollo de innovaciones tecnológicas. Como dice la iniciativa, “es de vital importancia generar oportunidades que permitan a los jóvenes mexicanos mejorar su calidad de vida y, al mismo tiempo, dar un nuevo impulso a la economía y a los sectores productivos del país, por medio de la aplicación de proyectos e innovaciones tecnológicas que nazcan de su creatividad”.</w:t>
      </w:r>
    </w:p>
    <w:p w:rsidR="001C53FE" w:rsidRPr="00C5245D" w:rsidRDefault="001C53FE" w:rsidP="001C53FE">
      <w:pPr>
        <w:pStyle w:val="NormalWeb"/>
        <w:rPr>
          <w:rFonts w:ascii="Arial" w:hAnsi="Arial" w:cs="Arial"/>
          <w:sz w:val="22"/>
          <w:szCs w:val="22"/>
        </w:rPr>
      </w:pPr>
      <w:r w:rsidRPr="00C5245D">
        <w:rPr>
          <w:rFonts w:ascii="Arial" w:hAnsi="Arial" w:cs="Arial"/>
          <w:sz w:val="22"/>
          <w:szCs w:val="22"/>
        </w:rPr>
        <w:lastRenderedPageBreak/>
        <w:t>La iniciativa hace una importante aportación porque reconoce la necesidad de poner especial atención a los estudiantes de la educación media superior, ya que de la calidad de su formación depende su capacidad para ingresar, permanecer y tener éxito en el mercado laboral y (o) en la continuación de sus estudios superiores.</w:t>
      </w:r>
    </w:p>
    <w:p w:rsidR="001C53FE" w:rsidRPr="00C5245D" w:rsidRDefault="001C53FE" w:rsidP="001C53FE">
      <w:pPr>
        <w:pStyle w:val="NormalWeb"/>
        <w:rPr>
          <w:rFonts w:ascii="Arial" w:hAnsi="Arial" w:cs="Arial"/>
          <w:sz w:val="22"/>
          <w:szCs w:val="22"/>
        </w:rPr>
      </w:pPr>
      <w:r w:rsidRPr="00C5245D">
        <w:rPr>
          <w:rFonts w:ascii="Arial" w:hAnsi="Arial" w:cs="Arial"/>
          <w:sz w:val="22"/>
          <w:szCs w:val="22"/>
        </w:rPr>
        <w:t>Sin embargo, debido a la falta de definiciones en torno a la educación media superior y al hecho de que se le considere más como un puente entre la educación básica y la educación superior, en vez de una etapa formadora elemental para la personalidad y juicio del individuo, este tipo educativo ha estado en desventaja frente a la educación básica y a la educación superior.</w:t>
      </w:r>
    </w:p>
    <w:p w:rsidR="001C53FE" w:rsidRPr="00C5245D" w:rsidRDefault="001C53FE" w:rsidP="001C53FE">
      <w:pPr>
        <w:pStyle w:val="NormalWeb"/>
        <w:rPr>
          <w:rFonts w:ascii="Arial" w:hAnsi="Arial" w:cs="Arial"/>
          <w:sz w:val="22"/>
          <w:szCs w:val="22"/>
        </w:rPr>
      </w:pPr>
      <w:r w:rsidRPr="00C5245D">
        <w:rPr>
          <w:rStyle w:val="negritas"/>
          <w:rFonts w:ascii="Arial" w:hAnsi="Arial" w:cs="Arial"/>
          <w:sz w:val="22"/>
          <w:szCs w:val="22"/>
        </w:rPr>
        <w:t>Cuatro.</w:t>
      </w:r>
      <w:r w:rsidRPr="00C5245D">
        <w:rPr>
          <w:rFonts w:ascii="Arial" w:hAnsi="Arial" w:cs="Arial"/>
          <w:sz w:val="22"/>
          <w:szCs w:val="22"/>
        </w:rPr>
        <w:t xml:space="preserve"> Basados en los anteriores argumentos, el planteamiento de la Iniciativa resultaría a todas luces correcto; sin embargo, el texto que se añade tanto al numeral X del artículo 6, como al numeral VII del artículo 13 de la Ley de Ciencia y Tecnología no son congruentes con la naturaleza y el nivel conceptual de los párrafos a los que se adicionarían. </w:t>
      </w:r>
    </w:p>
    <w:p w:rsidR="001C53FE" w:rsidRPr="00C5245D" w:rsidRDefault="001C53FE" w:rsidP="001C53FE">
      <w:pPr>
        <w:pStyle w:val="NormalWeb"/>
        <w:rPr>
          <w:rFonts w:ascii="Arial" w:hAnsi="Arial" w:cs="Arial"/>
          <w:sz w:val="22"/>
          <w:szCs w:val="22"/>
        </w:rPr>
      </w:pPr>
      <w:r w:rsidRPr="00C5245D">
        <w:rPr>
          <w:rStyle w:val="negritas"/>
          <w:rFonts w:ascii="Arial" w:hAnsi="Arial" w:cs="Arial"/>
          <w:sz w:val="22"/>
          <w:szCs w:val="22"/>
        </w:rPr>
        <w:t>Cinco.</w:t>
      </w:r>
      <w:r w:rsidRPr="00C5245D">
        <w:rPr>
          <w:rFonts w:ascii="Arial" w:hAnsi="Arial" w:cs="Arial"/>
          <w:sz w:val="22"/>
          <w:szCs w:val="22"/>
        </w:rPr>
        <w:t xml:space="preserve"> El artículo 6 de la Ley de Ciencia y Tecnología establece las facultades del Consejo General. El numeral X de dicho artículo propone: </w:t>
      </w:r>
    </w:p>
    <w:p w:rsidR="001C53FE" w:rsidRPr="00C5245D" w:rsidRDefault="001C53FE" w:rsidP="001C53FE">
      <w:pPr>
        <w:pStyle w:val="sangria"/>
        <w:rPr>
          <w:rFonts w:ascii="Arial" w:hAnsi="Arial" w:cs="Arial"/>
          <w:sz w:val="22"/>
          <w:szCs w:val="22"/>
        </w:rPr>
      </w:pPr>
      <w:r w:rsidRPr="00C5245D">
        <w:rPr>
          <w:rFonts w:ascii="Arial" w:hAnsi="Arial" w:cs="Arial"/>
          <w:sz w:val="22"/>
          <w:szCs w:val="22"/>
        </w:rPr>
        <w:t>X. Definir y aprobar los lineamientos generales del parque científico y tecnológico, espacio físico en que se aglutinará la infraestructura y equipamiento científico del más alto nivel, así como el conjunto de los proyectos prioritarios de la ciencia y la tecnología mexicana, y</w:t>
      </w:r>
    </w:p>
    <w:p w:rsidR="001C53FE" w:rsidRPr="00C5245D" w:rsidRDefault="001C53FE" w:rsidP="001C53FE">
      <w:pPr>
        <w:pStyle w:val="sangria"/>
        <w:rPr>
          <w:rFonts w:ascii="Arial" w:hAnsi="Arial" w:cs="Arial"/>
          <w:sz w:val="22"/>
          <w:szCs w:val="22"/>
        </w:rPr>
      </w:pPr>
      <w:r w:rsidRPr="00C5245D">
        <w:rPr>
          <w:rFonts w:ascii="Arial" w:hAnsi="Arial" w:cs="Arial"/>
          <w:sz w:val="22"/>
          <w:szCs w:val="22"/>
        </w:rPr>
        <w:t>La presente iniciativa pretende adicionar un párrafo al numeral X que diga:</w:t>
      </w:r>
      <w:r w:rsidRPr="00C5245D">
        <w:rPr>
          <w:rStyle w:val="negritas"/>
          <w:rFonts w:ascii="Arial" w:hAnsi="Arial" w:cs="Arial"/>
          <w:sz w:val="22"/>
          <w:szCs w:val="22"/>
        </w:rPr>
        <w:t xml:space="preserve"> “definir estrategias de impulso a la investigación e innovación tecnológicas en la población de educación media superior y superior”.</w:t>
      </w:r>
      <w:r w:rsidRPr="00C5245D">
        <w:rPr>
          <w:rFonts w:ascii="Arial" w:hAnsi="Arial" w:cs="Arial"/>
          <w:sz w:val="22"/>
          <w:szCs w:val="22"/>
        </w:rPr>
        <w:t xml:space="preserve"> </w:t>
      </w:r>
    </w:p>
    <w:p w:rsidR="001C53FE" w:rsidRPr="00C5245D" w:rsidRDefault="001C53FE" w:rsidP="001C53FE">
      <w:pPr>
        <w:pStyle w:val="NormalWeb"/>
        <w:rPr>
          <w:rFonts w:ascii="Arial" w:hAnsi="Arial" w:cs="Arial"/>
          <w:sz w:val="22"/>
          <w:szCs w:val="22"/>
        </w:rPr>
      </w:pPr>
      <w:r w:rsidRPr="00C5245D">
        <w:rPr>
          <w:rFonts w:ascii="Arial" w:hAnsi="Arial" w:cs="Arial"/>
          <w:sz w:val="22"/>
          <w:szCs w:val="22"/>
        </w:rPr>
        <w:t>La adición al numeral X no toma en cuenta el significado de parque científico, que representa una estrategia para promover la investigación e innovación tecnológica con el objetivo de construir una economía competitiva.</w:t>
      </w:r>
    </w:p>
    <w:p w:rsidR="001C53FE" w:rsidRPr="00C5245D" w:rsidRDefault="001C53FE" w:rsidP="001C53FE">
      <w:pPr>
        <w:pStyle w:val="NormalWeb"/>
        <w:rPr>
          <w:rFonts w:ascii="Arial" w:hAnsi="Arial" w:cs="Arial"/>
          <w:sz w:val="22"/>
          <w:szCs w:val="22"/>
        </w:rPr>
      </w:pPr>
      <w:r w:rsidRPr="00C5245D">
        <w:rPr>
          <w:rFonts w:ascii="Arial" w:hAnsi="Arial" w:cs="Arial"/>
          <w:sz w:val="22"/>
          <w:szCs w:val="22"/>
        </w:rPr>
        <w:t>Un parque científico y tecnológico es, entonces, un esfuerzo para concentrar y fomentar la innovación y el desarrollo productivo, facilitar la transferencia de tecnología, la cultura de la innovación y la competitividad entre los diferentes organismos, instituciones, centros de investigación y empresas.</w:t>
      </w:r>
    </w:p>
    <w:p w:rsidR="001C53FE" w:rsidRPr="00C5245D" w:rsidRDefault="001C53FE" w:rsidP="001C53FE">
      <w:pPr>
        <w:pStyle w:val="NormalWeb"/>
        <w:rPr>
          <w:rFonts w:ascii="Arial" w:hAnsi="Arial" w:cs="Arial"/>
          <w:sz w:val="22"/>
          <w:szCs w:val="22"/>
        </w:rPr>
      </w:pPr>
      <w:r w:rsidRPr="00C5245D">
        <w:rPr>
          <w:rFonts w:ascii="Arial" w:hAnsi="Arial" w:cs="Arial"/>
          <w:sz w:val="22"/>
          <w:szCs w:val="22"/>
        </w:rPr>
        <w:t>Además, este tipo de proyecto ha de ubicarse de acuerdo con las condiciones regionales y estatales de manera que se convierta en un generador de empleo y derrama económica. La idea central de un parque científico es la vinculación de distintos sectores con la planta industrial que ya se despliega en buena parte del país.</w:t>
      </w:r>
    </w:p>
    <w:p w:rsidR="001C53FE" w:rsidRPr="00C5245D" w:rsidRDefault="001C53FE" w:rsidP="001C53FE">
      <w:pPr>
        <w:pStyle w:val="NormalWeb"/>
        <w:rPr>
          <w:rFonts w:ascii="Arial" w:hAnsi="Arial" w:cs="Arial"/>
          <w:sz w:val="22"/>
          <w:szCs w:val="22"/>
        </w:rPr>
      </w:pPr>
      <w:r w:rsidRPr="00C5245D">
        <w:rPr>
          <w:rFonts w:ascii="Arial" w:hAnsi="Arial" w:cs="Arial"/>
          <w:sz w:val="22"/>
          <w:szCs w:val="22"/>
        </w:rPr>
        <w:t>La modificación propuesta representa un elemento genérico que per se podría ser válido, buscando la adecuada ubicación en la Ley de Ciencia y Tecnología o algún otro ordenamiento en que se justifique su presencia.</w:t>
      </w:r>
    </w:p>
    <w:p w:rsidR="001C53FE" w:rsidRPr="00C5245D" w:rsidRDefault="001C53FE" w:rsidP="001C53FE">
      <w:pPr>
        <w:pStyle w:val="NormalWeb"/>
        <w:rPr>
          <w:rFonts w:ascii="Arial" w:hAnsi="Arial" w:cs="Arial"/>
          <w:sz w:val="22"/>
          <w:szCs w:val="22"/>
        </w:rPr>
      </w:pPr>
      <w:r w:rsidRPr="00C5245D">
        <w:rPr>
          <w:rStyle w:val="negritas"/>
          <w:rFonts w:ascii="Arial" w:hAnsi="Arial" w:cs="Arial"/>
          <w:sz w:val="22"/>
          <w:szCs w:val="22"/>
        </w:rPr>
        <w:t>Seis.</w:t>
      </w:r>
      <w:r w:rsidRPr="00C5245D">
        <w:rPr>
          <w:rFonts w:ascii="Arial" w:hAnsi="Arial" w:cs="Arial"/>
          <w:sz w:val="22"/>
          <w:szCs w:val="22"/>
        </w:rPr>
        <w:t xml:space="preserve"> Respecto a la siguiente modificación propuesta, el artículo 13 de la Ley de Ciencia y Tecnología establece que el Gobierno Federal apoyará la investigación científica, el </w:t>
      </w:r>
      <w:r w:rsidRPr="00C5245D">
        <w:rPr>
          <w:rFonts w:ascii="Arial" w:hAnsi="Arial" w:cs="Arial"/>
          <w:sz w:val="22"/>
          <w:szCs w:val="22"/>
        </w:rPr>
        <w:lastRenderedPageBreak/>
        <w:t>desarrollo tecnológico y la innovación mediante una serie de instrumentos, entre los que se encuentran:</w:t>
      </w:r>
    </w:p>
    <w:p w:rsidR="001C53FE" w:rsidRPr="00C5245D" w:rsidRDefault="001C53FE" w:rsidP="001C53FE">
      <w:pPr>
        <w:pStyle w:val="NormalWeb"/>
        <w:rPr>
          <w:rFonts w:ascii="Arial" w:hAnsi="Arial" w:cs="Arial"/>
          <w:sz w:val="22"/>
          <w:szCs w:val="22"/>
        </w:rPr>
      </w:pPr>
      <w:r w:rsidRPr="00C5245D">
        <w:rPr>
          <w:rStyle w:val="negritas"/>
          <w:rFonts w:ascii="Arial" w:hAnsi="Arial" w:cs="Arial"/>
          <w:sz w:val="22"/>
          <w:szCs w:val="22"/>
        </w:rPr>
        <w:t>VII.</w:t>
      </w:r>
      <w:r w:rsidRPr="00C5245D">
        <w:rPr>
          <w:rFonts w:ascii="Arial" w:hAnsi="Arial" w:cs="Arial"/>
          <w:sz w:val="22"/>
          <w:szCs w:val="22"/>
        </w:rPr>
        <w:t xml:space="preserve"> La creación, el financiamiento y la operación de los fondos a que se refiere esta Ley, y</w:t>
      </w:r>
    </w:p>
    <w:p w:rsidR="001C53FE" w:rsidRPr="00C5245D" w:rsidRDefault="001C53FE" w:rsidP="001C53FE">
      <w:pPr>
        <w:pStyle w:val="NormalWeb"/>
        <w:rPr>
          <w:rFonts w:ascii="Arial" w:hAnsi="Arial" w:cs="Arial"/>
          <w:sz w:val="22"/>
          <w:szCs w:val="22"/>
        </w:rPr>
      </w:pPr>
      <w:r w:rsidRPr="00C5245D">
        <w:rPr>
          <w:rFonts w:ascii="Arial" w:hAnsi="Arial" w:cs="Arial"/>
          <w:sz w:val="22"/>
          <w:szCs w:val="22"/>
        </w:rPr>
        <w:t xml:space="preserve">La presente iniciativa pretende adicionar un párrafo al numeral VII que diga </w:t>
      </w:r>
      <w:r w:rsidRPr="00C5245D">
        <w:rPr>
          <w:rStyle w:val="negritas"/>
          <w:rFonts w:ascii="Arial" w:hAnsi="Arial" w:cs="Arial"/>
          <w:sz w:val="22"/>
          <w:szCs w:val="22"/>
        </w:rPr>
        <w:t>“la creación de proyectos productivos tecnológicos y científicos dirigidos a población estudiantil de educación media superior y superior;”</w:t>
      </w:r>
      <w:r w:rsidRPr="00C5245D">
        <w:rPr>
          <w:rFonts w:ascii="Arial" w:hAnsi="Arial" w:cs="Arial"/>
          <w:sz w:val="22"/>
          <w:szCs w:val="22"/>
        </w:rPr>
        <w:t xml:space="preserve"> </w:t>
      </w:r>
    </w:p>
    <w:p w:rsidR="001C53FE" w:rsidRPr="00C5245D" w:rsidRDefault="001C53FE" w:rsidP="001C53FE">
      <w:pPr>
        <w:pStyle w:val="NormalWeb"/>
        <w:rPr>
          <w:rFonts w:ascii="Arial" w:hAnsi="Arial" w:cs="Arial"/>
          <w:sz w:val="22"/>
          <w:szCs w:val="22"/>
        </w:rPr>
      </w:pPr>
      <w:r w:rsidRPr="00C5245D">
        <w:rPr>
          <w:rFonts w:ascii="Arial" w:hAnsi="Arial" w:cs="Arial"/>
          <w:sz w:val="22"/>
          <w:szCs w:val="22"/>
        </w:rPr>
        <w:t xml:space="preserve">Los fondos a los que se refiere la Ley de Ciencia y Tecnología en su sección IV, son los Fondos </w:t>
      </w:r>
      <w:proofErr w:type="spellStart"/>
      <w:r w:rsidRPr="00C5245D">
        <w:rPr>
          <w:rFonts w:ascii="Arial" w:hAnsi="Arial" w:cs="Arial"/>
          <w:sz w:val="22"/>
          <w:szCs w:val="22"/>
        </w:rPr>
        <w:t>Conacyt</w:t>
      </w:r>
      <w:proofErr w:type="spellEnd"/>
      <w:r w:rsidRPr="00C5245D">
        <w:rPr>
          <w:rFonts w:ascii="Arial" w:hAnsi="Arial" w:cs="Arial"/>
          <w:sz w:val="22"/>
          <w:szCs w:val="22"/>
        </w:rPr>
        <w:t xml:space="preserve"> y los Fondos de Investigación Científica y Desarrollo Tecnológico.</w:t>
      </w:r>
    </w:p>
    <w:p w:rsidR="001C53FE" w:rsidRPr="00C5245D" w:rsidRDefault="001C53FE" w:rsidP="001C53FE">
      <w:pPr>
        <w:pStyle w:val="NormalWeb"/>
        <w:rPr>
          <w:rFonts w:ascii="Arial" w:hAnsi="Arial" w:cs="Arial"/>
          <w:sz w:val="22"/>
          <w:szCs w:val="22"/>
        </w:rPr>
      </w:pPr>
      <w:r w:rsidRPr="00C5245D">
        <w:rPr>
          <w:rFonts w:ascii="Arial" w:hAnsi="Arial" w:cs="Arial"/>
          <w:sz w:val="22"/>
          <w:szCs w:val="22"/>
        </w:rPr>
        <w:t>Se considera importante señalar que la Ley de Ciencia y Tecnología establece en el artículo 24 la posibilidad de dar recursos, apoyo y financiamiento a la educación superior, es por eso que la reforma propuesta podría resultar repetitiva:</w:t>
      </w:r>
    </w:p>
    <w:p w:rsidR="001C53FE" w:rsidRPr="00C5245D" w:rsidRDefault="001C53FE" w:rsidP="001C53FE">
      <w:pPr>
        <w:pStyle w:val="NormalWeb"/>
        <w:rPr>
          <w:rFonts w:ascii="Arial" w:hAnsi="Arial" w:cs="Arial"/>
          <w:sz w:val="22"/>
          <w:szCs w:val="22"/>
        </w:rPr>
      </w:pPr>
      <w:r w:rsidRPr="00C5245D">
        <w:rPr>
          <w:rFonts w:ascii="Arial" w:hAnsi="Arial" w:cs="Arial"/>
          <w:sz w:val="22"/>
          <w:szCs w:val="22"/>
        </w:rPr>
        <w:t xml:space="preserve">Las universidades públicas y particulares (entre otros) serán beneficiarios de los fondos institucionales del </w:t>
      </w:r>
      <w:proofErr w:type="spellStart"/>
      <w:r w:rsidRPr="00C5245D">
        <w:rPr>
          <w:rFonts w:ascii="Arial" w:hAnsi="Arial" w:cs="Arial"/>
          <w:sz w:val="22"/>
          <w:szCs w:val="22"/>
        </w:rPr>
        <w:t>Conacyt</w:t>
      </w:r>
      <w:proofErr w:type="spellEnd"/>
      <w:r w:rsidRPr="00C5245D">
        <w:rPr>
          <w:rFonts w:ascii="Arial" w:hAnsi="Arial" w:cs="Arial"/>
          <w:sz w:val="22"/>
          <w:szCs w:val="22"/>
        </w:rPr>
        <w:t>, cuyo objetivo es el otorgamiento de apoyos y financiamientos para actividades directamente vinculadas al desarrollo de la investigación científica y tecnológica; becas y formación de recursos humanos especializados; realización de proyectos específicos de investigación científica, desarrollo tecnológico, innovación y modernización tecnológica; el registro nacional o internacional de los derechos de propiedad intelectual que se generen; la vinculación de la ciencia y la tecnología con los sectores productivos y de servicios; la divulgación de la ciencia, la tecnología y la innovación; creación, desarrollo o consolidación de grupos de investigadores o centros de investigación, así como para otorgar estímulos y reconocimientos a investigadores y tecnólogos, en ambos casos asociados a la evaluación de sus actividades y resultados.</w:t>
      </w:r>
    </w:p>
    <w:p w:rsidR="001C53FE" w:rsidRPr="00C5245D" w:rsidRDefault="001C53FE" w:rsidP="001C53FE">
      <w:pPr>
        <w:pStyle w:val="NormalWeb"/>
        <w:rPr>
          <w:rFonts w:ascii="Arial" w:hAnsi="Arial" w:cs="Arial"/>
          <w:sz w:val="22"/>
          <w:szCs w:val="22"/>
        </w:rPr>
      </w:pPr>
      <w:r w:rsidRPr="00C5245D">
        <w:rPr>
          <w:rFonts w:ascii="Arial" w:hAnsi="Arial" w:cs="Arial"/>
          <w:sz w:val="22"/>
          <w:szCs w:val="22"/>
        </w:rPr>
        <w:t>En segundo lugar un proyecto de este tipo es un proceso que, en esencia, parte de un planteamiento y análisis de un problema tecnológico y se resuelve mediante la construcción de un sistema técnico o máquina que cumpla con los requisitos demandados. Estos proyectos pueden representar una innovación, mejora de procesos productivos o mejoras para la calidad de vida, en áreas sobresalientes para el país como bioseguridad, biotecnología, tecnologías de información, comunicaciones y transportes, salud pública, educación, energía, economía, desarrollo productivo (sector agropecuario), medio ambiente, marina, y gestión pública.</w:t>
      </w:r>
    </w:p>
    <w:p w:rsidR="001C53FE" w:rsidRPr="00C5245D" w:rsidRDefault="001C53FE" w:rsidP="001C53FE">
      <w:pPr>
        <w:pStyle w:val="NormalWeb"/>
        <w:rPr>
          <w:rFonts w:ascii="Arial" w:hAnsi="Arial" w:cs="Arial"/>
          <w:sz w:val="22"/>
          <w:szCs w:val="22"/>
        </w:rPr>
      </w:pPr>
      <w:r w:rsidRPr="00C5245D">
        <w:rPr>
          <w:rFonts w:ascii="Arial" w:hAnsi="Arial" w:cs="Arial"/>
          <w:sz w:val="22"/>
          <w:szCs w:val="22"/>
        </w:rPr>
        <w:t xml:space="preserve">Ahora bien, la adición del párrafo que se propone también podría resultar repetitiva, pues los fondos institucionales del </w:t>
      </w:r>
      <w:proofErr w:type="spellStart"/>
      <w:r w:rsidRPr="00C5245D">
        <w:rPr>
          <w:rFonts w:ascii="Arial" w:hAnsi="Arial" w:cs="Arial"/>
          <w:sz w:val="22"/>
          <w:szCs w:val="22"/>
        </w:rPr>
        <w:t>Conacyt</w:t>
      </w:r>
      <w:proofErr w:type="spellEnd"/>
      <w:r w:rsidRPr="00C5245D">
        <w:rPr>
          <w:rFonts w:ascii="Arial" w:hAnsi="Arial" w:cs="Arial"/>
          <w:sz w:val="22"/>
          <w:szCs w:val="22"/>
        </w:rPr>
        <w:t xml:space="preserve"> ya destinan una parte a actividades directamente vinculados al desarrollo de la investigación científica y tecnológica en las universidades tanto públicas, como particulares.</w:t>
      </w:r>
    </w:p>
    <w:p w:rsidR="001C53FE" w:rsidRPr="00C5245D" w:rsidRDefault="001C53FE" w:rsidP="001C53FE">
      <w:pPr>
        <w:pStyle w:val="NormalWeb"/>
        <w:rPr>
          <w:rFonts w:ascii="Arial" w:hAnsi="Arial" w:cs="Arial"/>
          <w:sz w:val="22"/>
          <w:szCs w:val="22"/>
        </w:rPr>
      </w:pPr>
      <w:r w:rsidRPr="00C5245D">
        <w:rPr>
          <w:rFonts w:ascii="Arial" w:hAnsi="Arial" w:cs="Arial"/>
          <w:sz w:val="22"/>
          <w:szCs w:val="22"/>
        </w:rPr>
        <w:t>La adición que tal vez sea necesaria, es la de destinar recursos a la educación media superior para que los estudiantes creen proyectos dirigidos al beneficio de la población en general y a la mejora de la calidad de vida; sin embargo, la comisión dictaminadora considera que el artículo 13 no es el adecuado para añadir este texto.</w:t>
      </w:r>
    </w:p>
    <w:p w:rsidR="001C53FE" w:rsidRPr="00C5245D" w:rsidRDefault="001C53FE" w:rsidP="001C53FE">
      <w:pPr>
        <w:pStyle w:val="centrar"/>
        <w:rPr>
          <w:rFonts w:ascii="Arial" w:hAnsi="Arial" w:cs="Arial"/>
          <w:sz w:val="22"/>
          <w:szCs w:val="22"/>
        </w:rPr>
      </w:pPr>
      <w:r w:rsidRPr="00C5245D">
        <w:rPr>
          <w:rFonts w:ascii="Arial" w:hAnsi="Arial" w:cs="Arial"/>
          <w:sz w:val="22"/>
          <w:szCs w:val="22"/>
        </w:rPr>
        <w:t>Conclusiones</w:t>
      </w:r>
    </w:p>
    <w:p w:rsidR="001C53FE" w:rsidRPr="00C5245D" w:rsidRDefault="001C53FE" w:rsidP="001C53FE">
      <w:pPr>
        <w:pStyle w:val="NormalWeb"/>
        <w:rPr>
          <w:rFonts w:ascii="Arial" w:hAnsi="Arial" w:cs="Arial"/>
          <w:sz w:val="22"/>
          <w:szCs w:val="22"/>
        </w:rPr>
      </w:pPr>
      <w:r w:rsidRPr="00C5245D">
        <w:rPr>
          <w:rFonts w:ascii="Arial" w:hAnsi="Arial" w:cs="Arial"/>
          <w:sz w:val="22"/>
          <w:szCs w:val="22"/>
        </w:rPr>
        <w:lastRenderedPageBreak/>
        <w:t>La reforma a los artículos 6 y 13 de la Ley de Ciencia y Tecnología que plantea la Iniciativa no se considera pertinente porque no son congruentes con lo establecido en los párrafos anteriores de los artículos, y porque podrían considerarse repetitivas si se revisan otros preceptos de la ley.</w:t>
      </w:r>
    </w:p>
    <w:p w:rsidR="001C53FE" w:rsidRPr="00C5245D" w:rsidRDefault="001C53FE" w:rsidP="001C53FE">
      <w:pPr>
        <w:pStyle w:val="NormalWeb"/>
        <w:rPr>
          <w:rFonts w:ascii="Arial" w:hAnsi="Arial" w:cs="Arial"/>
          <w:sz w:val="22"/>
          <w:szCs w:val="22"/>
        </w:rPr>
      </w:pPr>
      <w:r w:rsidRPr="00C5245D">
        <w:rPr>
          <w:rFonts w:ascii="Arial" w:hAnsi="Arial" w:cs="Arial"/>
          <w:sz w:val="22"/>
          <w:szCs w:val="22"/>
        </w:rPr>
        <w:t>Por lo expuesto y una vez analizada la iniciativa materia de este dictamen, los integrantes de la Comisión de Ciencia y Tecnología sometemos a consideración del pleno de la Cámara de Diputados del honorable Congreso de la Unión, el siguiente</w:t>
      </w:r>
    </w:p>
    <w:p w:rsidR="001C53FE" w:rsidRPr="00C5245D" w:rsidRDefault="001C53FE" w:rsidP="001C53FE">
      <w:pPr>
        <w:pStyle w:val="centrar"/>
        <w:rPr>
          <w:rFonts w:ascii="Arial" w:hAnsi="Arial" w:cs="Arial"/>
          <w:sz w:val="22"/>
          <w:szCs w:val="22"/>
        </w:rPr>
      </w:pPr>
      <w:r w:rsidRPr="00C5245D">
        <w:rPr>
          <w:rFonts w:ascii="Arial" w:hAnsi="Arial" w:cs="Arial"/>
          <w:sz w:val="22"/>
          <w:szCs w:val="22"/>
        </w:rPr>
        <w:t>Acuerdo</w:t>
      </w:r>
    </w:p>
    <w:p w:rsidR="001C53FE" w:rsidRPr="00C5245D" w:rsidRDefault="001C53FE" w:rsidP="001C53FE">
      <w:pPr>
        <w:pStyle w:val="NormalWeb"/>
        <w:rPr>
          <w:rFonts w:ascii="Arial" w:hAnsi="Arial" w:cs="Arial"/>
          <w:sz w:val="22"/>
          <w:szCs w:val="22"/>
        </w:rPr>
      </w:pPr>
      <w:r w:rsidRPr="00C5245D">
        <w:rPr>
          <w:rStyle w:val="negritas"/>
          <w:rFonts w:ascii="Arial" w:hAnsi="Arial" w:cs="Arial"/>
          <w:sz w:val="22"/>
          <w:szCs w:val="22"/>
        </w:rPr>
        <w:t>Único.</w:t>
      </w:r>
      <w:r w:rsidRPr="00C5245D">
        <w:rPr>
          <w:rFonts w:ascii="Arial" w:hAnsi="Arial" w:cs="Arial"/>
          <w:sz w:val="22"/>
          <w:szCs w:val="22"/>
        </w:rPr>
        <w:t xml:space="preserve"> Se desecha la iniciativa con proyecto de decreto que reforma los artículos 6 y 13 de la Ley de Ciencia y Tecnología, presentada por la diputada Blanca Estela Jiménez Hernández, del Grupo Parlamentario del Partido Revolucionario Institucional, el 29 de abril de 2011.</w:t>
      </w:r>
    </w:p>
    <w:p w:rsidR="001C53FE" w:rsidRPr="00C5245D" w:rsidRDefault="001C53FE" w:rsidP="001C53FE">
      <w:pPr>
        <w:pStyle w:val="NormalWeb"/>
        <w:rPr>
          <w:rFonts w:ascii="Arial" w:hAnsi="Arial" w:cs="Arial"/>
          <w:sz w:val="22"/>
          <w:szCs w:val="22"/>
        </w:rPr>
      </w:pPr>
      <w:r w:rsidRPr="00C5245D">
        <w:rPr>
          <w:rFonts w:ascii="Arial" w:hAnsi="Arial" w:cs="Arial"/>
          <w:sz w:val="22"/>
          <w:szCs w:val="22"/>
        </w:rPr>
        <w:t>Entérese y archívese como total y definitivamente concluido el presente expediente.</w:t>
      </w:r>
    </w:p>
    <w:p w:rsidR="001C53FE" w:rsidRPr="00C5245D" w:rsidRDefault="001C53FE" w:rsidP="001C53FE">
      <w:pPr>
        <w:pStyle w:val="firmas"/>
        <w:rPr>
          <w:rFonts w:ascii="Arial" w:hAnsi="Arial" w:cs="Arial"/>
        </w:rPr>
      </w:pPr>
      <w:r w:rsidRPr="00C5245D">
        <w:rPr>
          <w:rStyle w:val="negritas"/>
          <w:rFonts w:ascii="Arial" w:hAnsi="Arial" w:cs="Arial"/>
        </w:rPr>
        <w:t>Nota</w:t>
      </w:r>
      <w:r w:rsidRPr="00C5245D">
        <w:rPr>
          <w:rFonts w:ascii="Arial" w:hAnsi="Arial" w:cs="Arial"/>
        </w:rPr>
        <w:t xml:space="preserve"> </w:t>
      </w:r>
    </w:p>
    <w:p w:rsidR="001C53FE" w:rsidRPr="00C5245D" w:rsidRDefault="001C53FE" w:rsidP="001C53FE">
      <w:pPr>
        <w:pStyle w:val="firmas"/>
        <w:rPr>
          <w:rFonts w:ascii="Arial" w:hAnsi="Arial" w:cs="Arial"/>
        </w:rPr>
      </w:pPr>
      <w:r w:rsidRPr="00C5245D">
        <w:rPr>
          <w:rFonts w:ascii="Arial" w:hAnsi="Arial" w:cs="Arial"/>
        </w:rPr>
        <w:t>1</w:t>
      </w:r>
      <w:r w:rsidRPr="00C5245D">
        <w:rPr>
          <w:rStyle w:val="negritas"/>
          <w:rFonts w:ascii="Arial" w:hAnsi="Arial" w:cs="Arial"/>
        </w:rPr>
        <w:t xml:space="preserve"> </w:t>
      </w:r>
      <w:r w:rsidRPr="00C5245D">
        <w:rPr>
          <w:rFonts w:ascii="Arial" w:hAnsi="Arial" w:cs="Arial"/>
        </w:rPr>
        <w:t xml:space="preserve">Germán Darío Rodríguez Acevedo, “Ciencia, tecnología y sociedad: una mirada desde la educación en tecnología”, </w:t>
      </w:r>
      <w:r w:rsidRPr="00C5245D">
        <w:rPr>
          <w:rStyle w:val="italicas"/>
          <w:rFonts w:ascii="Arial" w:hAnsi="Arial" w:cs="Arial"/>
        </w:rPr>
        <w:t xml:space="preserve">Revista Iberoamericana de Educación, </w:t>
      </w:r>
      <w:r w:rsidRPr="00C5245D">
        <w:rPr>
          <w:rFonts w:ascii="Arial" w:hAnsi="Arial" w:cs="Arial"/>
        </w:rPr>
        <w:t>número 18, Organización de Estados Iberoamericanos (OEI).</w:t>
      </w:r>
    </w:p>
    <w:p w:rsidR="001C53FE" w:rsidRPr="00C5245D" w:rsidRDefault="001C53FE" w:rsidP="001C53FE">
      <w:pPr>
        <w:pStyle w:val="firmas"/>
        <w:rPr>
          <w:rFonts w:ascii="Arial" w:hAnsi="Arial" w:cs="Arial"/>
        </w:rPr>
      </w:pPr>
      <w:r w:rsidRPr="00C5245D">
        <w:rPr>
          <w:rFonts w:ascii="Arial" w:hAnsi="Arial" w:cs="Arial"/>
        </w:rPr>
        <w:t>2 OCDE 2010</w:t>
      </w:r>
    </w:p>
    <w:p w:rsidR="001C53FE" w:rsidRPr="00C5245D" w:rsidRDefault="001C53FE" w:rsidP="001C53FE">
      <w:pPr>
        <w:pStyle w:val="firmas"/>
        <w:rPr>
          <w:rFonts w:ascii="Arial" w:hAnsi="Arial" w:cs="Arial"/>
        </w:rPr>
      </w:pPr>
      <w:r w:rsidRPr="00C5245D">
        <w:rPr>
          <w:rFonts w:ascii="Arial" w:hAnsi="Arial" w:cs="Arial"/>
        </w:rPr>
        <w:t>3 El sector empleo incluye: productivo, gobierno, educación superior y privado no lucrativo</w:t>
      </w:r>
    </w:p>
    <w:p w:rsidR="001C53FE" w:rsidRPr="00C5245D" w:rsidRDefault="001C53FE" w:rsidP="001C53FE">
      <w:pPr>
        <w:pStyle w:val="firmas"/>
        <w:rPr>
          <w:rFonts w:ascii="Arial" w:hAnsi="Arial" w:cs="Arial"/>
        </w:rPr>
      </w:pPr>
      <w:r w:rsidRPr="00C5245D">
        <w:rPr>
          <w:rFonts w:ascii="Arial" w:hAnsi="Arial" w:cs="Arial"/>
        </w:rPr>
        <w:t>4 Informe General de la Ciencia y la Tecnología (México 2009).</w:t>
      </w:r>
    </w:p>
    <w:p w:rsidR="001C53FE" w:rsidRPr="00C5245D" w:rsidRDefault="001C53FE" w:rsidP="001C53FE">
      <w:pPr>
        <w:pStyle w:val="derecha"/>
        <w:rPr>
          <w:rFonts w:ascii="Arial" w:hAnsi="Arial" w:cs="Arial"/>
          <w:sz w:val="22"/>
          <w:szCs w:val="22"/>
        </w:rPr>
      </w:pPr>
      <w:r w:rsidRPr="00C5245D">
        <w:rPr>
          <w:rFonts w:ascii="Arial" w:hAnsi="Arial" w:cs="Arial"/>
          <w:sz w:val="22"/>
          <w:szCs w:val="22"/>
        </w:rPr>
        <w:t>Palacio Legislativo de San Lázaro, a 17 de agosto de 2011.</w:t>
      </w:r>
    </w:p>
    <w:p w:rsidR="001C53FE" w:rsidRPr="00C5245D" w:rsidRDefault="001C53FE" w:rsidP="001C53FE">
      <w:pPr>
        <w:pStyle w:val="firmas"/>
        <w:rPr>
          <w:rFonts w:ascii="Arial" w:hAnsi="Arial" w:cs="Arial"/>
        </w:rPr>
      </w:pPr>
      <w:r w:rsidRPr="00C5245D">
        <w:rPr>
          <w:rStyle w:val="negritas"/>
          <w:rFonts w:ascii="Arial" w:hAnsi="Arial" w:cs="Arial"/>
        </w:rPr>
        <w:t>La Comisión de Ciencia y Tecnología</w:t>
      </w:r>
      <w:r w:rsidRPr="00C5245D">
        <w:rPr>
          <w:rFonts w:ascii="Arial" w:hAnsi="Arial" w:cs="Arial"/>
        </w:rPr>
        <w:t xml:space="preserve"> </w:t>
      </w:r>
    </w:p>
    <w:p w:rsidR="001C53FE" w:rsidRPr="00C5245D" w:rsidRDefault="001C53FE" w:rsidP="001C53FE">
      <w:pPr>
        <w:pStyle w:val="firmas"/>
        <w:rPr>
          <w:rFonts w:ascii="Arial" w:hAnsi="Arial" w:cs="Arial"/>
        </w:rPr>
      </w:pPr>
      <w:r w:rsidRPr="00C5245D">
        <w:rPr>
          <w:rStyle w:val="negritas"/>
          <w:rFonts w:ascii="Arial" w:hAnsi="Arial" w:cs="Arial"/>
        </w:rPr>
        <w:t xml:space="preserve">Diputados: </w:t>
      </w:r>
      <w:r w:rsidRPr="00C5245D">
        <w:rPr>
          <w:rFonts w:ascii="Arial" w:hAnsi="Arial" w:cs="Arial"/>
        </w:rPr>
        <w:t xml:space="preserve">Reyes Tamez Guerra (rúbrica), presidente; Blanca Juana Soria Morales (rúbrica), Alejandro Bahena Flores (rúbrica), Guadalupe Eduardo Robles Medina (rúbrica), Rodolfo Lara Lagunas (rúbrica), Óscar Román Rosas González, secretarios; Pedro Ávila </w:t>
      </w:r>
      <w:proofErr w:type="spellStart"/>
      <w:r w:rsidRPr="00C5245D">
        <w:rPr>
          <w:rFonts w:ascii="Arial" w:hAnsi="Arial" w:cs="Arial"/>
        </w:rPr>
        <w:t>Nevárez</w:t>
      </w:r>
      <w:proofErr w:type="spellEnd"/>
      <w:r w:rsidRPr="00C5245D">
        <w:rPr>
          <w:rFonts w:ascii="Arial" w:hAnsi="Arial" w:cs="Arial"/>
        </w:rPr>
        <w:t xml:space="preserve"> (rúbrica), Alejandro del Mazo Maza (rúbrica), José Alberto González Morales, Tomás Gutiérrez Ramírez, Juan Enrique Ibarra Pedroza, Aarón </w:t>
      </w:r>
      <w:proofErr w:type="spellStart"/>
      <w:r w:rsidRPr="00C5245D">
        <w:rPr>
          <w:rFonts w:ascii="Arial" w:hAnsi="Arial" w:cs="Arial"/>
        </w:rPr>
        <w:t>Irízar</w:t>
      </w:r>
      <w:proofErr w:type="spellEnd"/>
      <w:r w:rsidRPr="00C5245D">
        <w:rPr>
          <w:rFonts w:ascii="Arial" w:hAnsi="Arial" w:cs="Arial"/>
        </w:rPr>
        <w:t xml:space="preserve"> López (rúbrica), José Francisco Landero Gutiérrez (rúbrica), Óscar Lara Salazar, Ana Luz Lobato Ramírez (rúbrica), Oralia López Hernández, José Trinidad Padilla López, César Octavio Pedroza Gaytán, María Isabel Pérez Santos, Jorge Romero </w:t>
      </w:r>
      <w:proofErr w:type="spellStart"/>
      <w:r w:rsidRPr="00C5245D">
        <w:rPr>
          <w:rFonts w:ascii="Arial" w:hAnsi="Arial" w:cs="Arial"/>
        </w:rPr>
        <w:t>Romero</w:t>
      </w:r>
      <w:proofErr w:type="spellEnd"/>
      <w:r w:rsidRPr="00C5245D">
        <w:rPr>
          <w:rFonts w:ascii="Arial" w:hAnsi="Arial" w:cs="Arial"/>
        </w:rPr>
        <w:t xml:space="preserve"> (rúbrica), José Luis Velasco Lino (rúbrica), José Antonio </w:t>
      </w:r>
      <w:proofErr w:type="spellStart"/>
      <w:r w:rsidRPr="00C5245D">
        <w:rPr>
          <w:rFonts w:ascii="Arial" w:hAnsi="Arial" w:cs="Arial"/>
        </w:rPr>
        <w:t>Yglesias</w:t>
      </w:r>
      <w:proofErr w:type="spellEnd"/>
      <w:r w:rsidRPr="00C5245D">
        <w:rPr>
          <w:rFonts w:ascii="Arial" w:hAnsi="Arial" w:cs="Arial"/>
        </w:rPr>
        <w:t xml:space="preserve"> Arreola.</w:t>
      </w:r>
    </w:p>
    <w:bookmarkEnd w:id="0"/>
    <w:p w:rsidR="008068BD" w:rsidRPr="00C5245D" w:rsidRDefault="00C5245D">
      <w:pPr>
        <w:rPr>
          <w:rFonts w:ascii="Arial" w:hAnsi="Arial" w:cs="Arial"/>
        </w:rPr>
      </w:pPr>
    </w:p>
    <w:sectPr w:rsidR="008068BD" w:rsidRPr="00C524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FE"/>
    <w:rsid w:val="001C53FE"/>
    <w:rsid w:val="00B4687E"/>
    <w:rsid w:val="00C5245D"/>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C53FE"/>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1C53FE"/>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1C53F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1C53FE"/>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1C53FE"/>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1C53FE"/>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1C53FE"/>
    <w:rPr>
      <w:b/>
      <w:bCs/>
    </w:rPr>
  </w:style>
  <w:style w:type="character" w:customStyle="1" w:styleId="superscript">
    <w:name w:val="superscript"/>
    <w:basedOn w:val="Fuentedeprrafopredeter"/>
    <w:rsid w:val="001C53FE"/>
    <w:rPr>
      <w:b/>
      <w:bCs/>
      <w:sz w:val="17"/>
      <w:szCs w:val="17"/>
      <w:vertAlign w:val="superscript"/>
    </w:rPr>
  </w:style>
  <w:style w:type="character" w:customStyle="1" w:styleId="italicas">
    <w:name w:val="italicas"/>
    <w:basedOn w:val="Fuentedeprrafopredeter"/>
    <w:rsid w:val="001C53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C53FE"/>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1C53FE"/>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1C53F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1C53FE"/>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1C53FE"/>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1C53FE"/>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1C53FE"/>
    <w:rPr>
      <w:b/>
      <w:bCs/>
    </w:rPr>
  </w:style>
  <w:style w:type="character" w:customStyle="1" w:styleId="superscript">
    <w:name w:val="superscript"/>
    <w:basedOn w:val="Fuentedeprrafopredeter"/>
    <w:rsid w:val="001C53FE"/>
    <w:rPr>
      <w:b/>
      <w:bCs/>
      <w:sz w:val="17"/>
      <w:szCs w:val="17"/>
      <w:vertAlign w:val="superscript"/>
    </w:rPr>
  </w:style>
  <w:style w:type="character" w:customStyle="1" w:styleId="italicas">
    <w:name w:val="italicas"/>
    <w:basedOn w:val="Fuentedeprrafopredeter"/>
    <w:rsid w:val="001C53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45353">
      <w:bodyDiv w:val="1"/>
      <w:marLeft w:val="150"/>
      <w:marRight w:val="150"/>
      <w:marTop w:val="0"/>
      <w:marBottom w:val="0"/>
      <w:divBdr>
        <w:top w:val="none" w:sz="0" w:space="0" w:color="auto"/>
        <w:left w:val="none" w:sz="0" w:space="0" w:color="auto"/>
        <w:bottom w:val="none" w:sz="0" w:space="0" w:color="auto"/>
        <w:right w:val="none" w:sz="0" w:space="0" w:color="auto"/>
      </w:divBdr>
      <w:divsChild>
        <w:div w:id="1048801416">
          <w:marLeft w:val="0"/>
          <w:marRight w:val="0"/>
          <w:marTop w:val="0"/>
          <w:marBottom w:val="0"/>
          <w:divBdr>
            <w:top w:val="none" w:sz="0" w:space="0" w:color="auto"/>
            <w:left w:val="none" w:sz="0" w:space="0" w:color="auto"/>
            <w:bottom w:val="none" w:sz="0" w:space="0" w:color="auto"/>
            <w:right w:val="none" w:sz="0" w:space="0" w:color="auto"/>
          </w:divBdr>
          <w:divsChild>
            <w:div w:id="219443009">
              <w:marLeft w:val="0"/>
              <w:marRight w:val="0"/>
              <w:marTop w:val="0"/>
              <w:marBottom w:val="0"/>
              <w:divBdr>
                <w:top w:val="none" w:sz="0" w:space="0" w:color="auto"/>
                <w:left w:val="none" w:sz="0" w:space="0" w:color="auto"/>
                <w:bottom w:val="none" w:sz="0" w:space="0" w:color="auto"/>
                <w:right w:val="none" w:sz="0" w:space="0" w:color="auto"/>
              </w:divBdr>
              <w:divsChild>
                <w:div w:id="1217281789">
                  <w:marLeft w:val="0"/>
                  <w:marRight w:val="0"/>
                  <w:marTop w:val="1500"/>
                  <w:marBottom w:val="0"/>
                  <w:divBdr>
                    <w:top w:val="none" w:sz="0" w:space="0" w:color="auto"/>
                    <w:left w:val="none" w:sz="0" w:space="0" w:color="auto"/>
                    <w:bottom w:val="none" w:sz="0" w:space="0" w:color="auto"/>
                    <w:right w:val="none" w:sz="0" w:space="0" w:color="auto"/>
                  </w:divBdr>
                  <w:divsChild>
                    <w:div w:id="519005036">
                      <w:marLeft w:val="0"/>
                      <w:marRight w:val="0"/>
                      <w:marTop w:val="1500"/>
                      <w:marBottom w:val="0"/>
                      <w:divBdr>
                        <w:top w:val="none" w:sz="0" w:space="0" w:color="auto"/>
                        <w:left w:val="none" w:sz="0" w:space="0" w:color="auto"/>
                        <w:bottom w:val="none" w:sz="0" w:space="0" w:color="auto"/>
                        <w:right w:val="none" w:sz="0" w:space="0" w:color="auto"/>
                      </w:divBdr>
                      <w:divsChild>
                        <w:div w:id="1246570303">
                          <w:marLeft w:val="0"/>
                          <w:marRight w:val="0"/>
                          <w:marTop w:val="1500"/>
                          <w:marBottom w:val="0"/>
                          <w:divBdr>
                            <w:top w:val="none" w:sz="0" w:space="0" w:color="auto"/>
                            <w:left w:val="none" w:sz="0" w:space="0" w:color="auto"/>
                            <w:bottom w:val="none" w:sz="0" w:space="0" w:color="auto"/>
                            <w:right w:val="none" w:sz="0" w:space="0" w:color="auto"/>
                          </w:divBdr>
                          <w:divsChild>
                            <w:div w:id="16857734">
                              <w:marLeft w:val="0"/>
                              <w:marRight w:val="0"/>
                              <w:marTop w:val="1500"/>
                              <w:marBottom w:val="0"/>
                              <w:divBdr>
                                <w:top w:val="none" w:sz="0" w:space="0" w:color="auto"/>
                                <w:left w:val="none" w:sz="0" w:space="0" w:color="auto"/>
                                <w:bottom w:val="none" w:sz="0" w:space="0" w:color="auto"/>
                                <w:right w:val="none" w:sz="0" w:space="0" w:color="auto"/>
                              </w:divBdr>
                              <w:divsChild>
                                <w:div w:id="799882714">
                                  <w:marLeft w:val="0"/>
                                  <w:marRight w:val="0"/>
                                  <w:marTop w:val="1500"/>
                                  <w:marBottom w:val="0"/>
                                  <w:divBdr>
                                    <w:top w:val="none" w:sz="0" w:space="0" w:color="auto"/>
                                    <w:left w:val="none" w:sz="0" w:space="0" w:color="auto"/>
                                    <w:bottom w:val="none" w:sz="0" w:space="0" w:color="auto"/>
                                    <w:right w:val="none" w:sz="0" w:space="0" w:color="auto"/>
                                  </w:divBdr>
                                  <w:divsChild>
                                    <w:div w:id="1964187504">
                                      <w:marLeft w:val="0"/>
                                      <w:marRight w:val="0"/>
                                      <w:marTop w:val="1500"/>
                                      <w:marBottom w:val="0"/>
                                      <w:divBdr>
                                        <w:top w:val="none" w:sz="0" w:space="0" w:color="auto"/>
                                        <w:left w:val="none" w:sz="0" w:space="0" w:color="auto"/>
                                        <w:bottom w:val="none" w:sz="0" w:space="0" w:color="auto"/>
                                        <w:right w:val="none" w:sz="0" w:space="0" w:color="auto"/>
                                      </w:divBdr>
                                      <w:divsChild>
                                        <w:div w:id="230773348">
                                          <w:marLeft w:val="0"/>
                                          <w:marRight w:val="0"/>
                                          <w:marTop w:val="1500"/>
                                          <w:marBottom w:val="0"/>
                                          <w:divBdr>
                                            <w:top w:val="none" w:sz="0" w:space="0" w:color="auto"/>
                                            <w:left w:val="none" w:sz="0" w:space="0" w:color="auto"/>
                                            <w:bottom w:val="none" w:sz="0" w:space="0" w:color="auto"/>
                                            <w:right w:val="none" w:sz="0" w:space="0" w:color="auto"/>
                                          </w:divBdr>
                                          <w:divsChild>
                                            <w:div w:id="149760794">
                                              <w:marLeft w:val="0"/>
                                              <w:marRight w:val="0"/>
                                              <w:marTop w:val="1500"/>
                                              <w:marBottom w:val="0"/>
                                              <w:divBdr>
                                                <w:top w:val="none" w:sz="0" w:space="0" w:color="auto"/>
                                                <w:left w:val="none" w:sz="0" w:space="0" w:color="auto"/>
                                                <w:bottom w:val="none" w:sz="0" w:space="0" w:color="auto"/>
                                                <w:right w:val="none" w:sz="0" w:space="0" w:color="auto"/>
                                              </w:divBdr>
                                              <w:divsChild>
                                                <w:div w:id="2050376662">
                                                  <w:marLeft w:val="0"/>
                                                  <w:marRight w:val="0"/>
                                                  <w:marTop w:val="1500"/>
                                                  <w:marBottom w:val="0"/>
                                                  <w:divBdr>
                                                    <w:top w:val="none" w:sz="0" w:space="0" w:color="auto"/>
                                                    <w:left w:val="none" w:sz="0" w:space="0" w:color="auto"/>
                                                    <w:bottom w:val="none" w:sz="0" w:space="0" w:color="auto"/>
                                                    <w:right w:val="none" w:sz="0" w:space="0" w:color="auto"/>
                                                  </w:divBdr>
                                                  <w:divsChild>
                                                    <w:div w:id="1060053871">
                                                      <w:marLeft w:val="0"/>
                                                      <w:marRight w:val="0"/>
                                                      <w:marTop w:val="1500"/>
                                                      <w:marBottom w:val="0"/>
                                                      <w:divBdr>
                                                        <w:top w:val="none" w:sz="0" w:space="0" w:color="auto"/>
                                                        <w:left w:val="none" w:sz="0" w:space="0" w:color="auto"/>
                                                        <w:bottom w:val="none" w:sz="0" w:space="0" w:color="auto"/>
                                                        <w:right w:val="none" w:sz="0" w:space="0" w:color="auto"/>
                                                      </w:divBdr>
                                                      <w:divsChild>
                                                        <w:div w:id="110514440">
                                                          <w:marLeft w:val="0"/>
                                                          <w:marRight w:val="0"/>
                                                          <w:marTop w:val="1500"/>
                                                          <w:marBottom w:val="0"/>
                                                          <w:divBdr>
                                                            <w:top w:val="none" w:sz="0" w:space="0" w:color="auto"/>
                                                            <w:left w:val="none" w:sz="0" w:space="0" w:color="auto"/>
                                                            <w:bottom w:val="none" w:sz="0" w:space="0" w:color="auto"/>
                                                            <w:right w:val="none" w:sz="0" w:space="0" w:color="auto"/>
                                                          </w:divBdr>
                                                          <w:divsChild>
                                                            <w:div w:id="2101556948">
                                                              <w:marLeft w:val="0"/>
                                                              <w:marRight w:val="0"/>
                                                              <w:marTop w:val="1500"/>
                                                              <w:marBottom w:val="0"/>
                                                              <w:divBdr>
                                                                <w:top w:val="none" w:sz="0" w:space="0" w:color="auto"/>
                                                                <w:left w:val="none" w:sz="0" w:space="0" w:color="auto"/>
                                                                <w:bottom w:val="none" w:sz="0" w:space="0" w:color="auto"/>
                                                                <w:right w:val="none" w:sz="0" w:space="0" w:color="auto"/>
                                                              </w:divBdr>
                                                              <w:divsChild>
                                                                <w:div w:id="1816483052">
                                                                  <w:marLeft w:val="0"/>
                                                                  <w:marRight w:val="0"/>
                                                                  <w:marTop w:val="1500"/>
                                                                  <w:marBottom w:val="0"/>
                                                                  <w:divBdr>
                                                                    <w:top w:val="none" w:sz="0" w:space="0" w:color="auto"/>
                                                                    <w:left w:val="none" w:sz="0" w:space="0" w:color="auto"/>
                                                                    <w:bottom w:val="none" w:sz="0" w:space="0" w:color="auto"/>
                                                                    <w:right w:val="none" w:sz="0" w:space="0" w:color="auto"/>
                                                                  </w:divBdr>
                                                                  <w:divsChild>
                                                                    <w:div w:id="2056418979">
                                                                      <w:marLeft w:val="0"/>
                                                                      <w:marRight w:val="0"/>
                                                                      <w:marTop w:val="1500"/>
                                                                      <w:marBottom w:val="0"/>
                                                                      <w:divBdr>
                                                                        <w:top w:val="none" w:sz="0" w:space="0" w:color="auto"/>
                                                                        <w:left w:val="none" w:sz="0" w:space="0" w:color="auto"/>
                                                                        <w:bottom w:val="none" w:sz="0" w:space="0" w:color="auto"/>
                                                                        <w:right w:val="none" w:sz="0" w:space="0" w:color="auto"/>
                                                                      </w:divBdr>
                                                                      <w:divsChild>
                                                                        <w:div w:id="406419638">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2191</Words>
  <Characters>12052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2011-10-19T17:04:00Z</dcterms:created>
  <dcterms:modified xsi:type="dcterms:W3CDTF">2011-10-19T18:46:00Z</dcterms:modified>
</cp:coreProperties>
</file>