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DC" w:rsidRPr="001B7893" w:rsidRDefault="00414CDC" w:rsidP="00414CDC">
      <w:pPr>
        <w:pStyle w:val="versales"/>
        <w:rPr>
          <w:rFonts w:ascii="Arial" w:hAnsi="Arial" w:cs="Arial"/>
          <w:color w:val="auto"/>
        </w:rPr>
      </w:pPr>
      <w:bookmarkStart w:id="0" w:name="DictamenaD5"/>
      <w:r w:rsidRPr="001B7893">
        <w:rPr>
          <w:rFonts w:ascii="Arial" w:hAnsi="Arial" w:cs="Arial"/>
          <w:color w:val="auto"/>
        </w:rPr>
        <w:t xml:space="preserve">De la Comisión de Ciencia y Tecnología, con proyecto de decreto que reforma y adiciona los artículos 2, 12, 14 y 42 de la Ley de Ciencia y Tecnología </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t>Honorable Asamblea:</w:t>
      </w:r>
      <w:r w:rsidRPr="001B7893">
        <w:rPr>
          <w:rFonts w:ascii="Arial" w:hAnsi="Arial" w:cs="Arial"/>
          <w:sz w:val="22"/>
          <w:szCs w:val="22"/>
        </w:rPr>
        <w:t xml:space="preserve"> </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A la Comisión de Ciencia y Tecnología de la honorable Cámara de Diputados, correspondiente a la LXI Legislatura le fue turnada para su estudio y dictamen correspondiente la iniciativa con proyecto de decreto por el que se reforman los artículos 2, 6, 12, 13, 14 y 42 de la Ley de Ciencia y Tecnología.</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Con fundamento en lo dispuesto en los artículos 39 y 45, numeral 6, incisos e) y f), de la Ley Orgánica del Congreso General de los Estados Unidos Mexicanos; así como los artículos 80, 82, numeral 1, 85, 157, numeral 1, fracción I, 158, numeral 1, fracción IV, 176, 182, numeral 1, y demás relativos del Reglamento de la Cámara de Diputados, presenta a consideración de esta soberanía el siguiente dictamen.</w:t>
      </w:r>
    </w:p>
    <w:p w:rsidR="00414CDC" w:rsidRPr="001B7893" w:rsidRDefault="00414CDC" w:rsidP="00414CDC">
      <w:pPr>
        <w:pStyle w:val="centrar"/>
        <w:rPr>
          <w:rFonts w:ascii="Arial" w:hAnsi="Arial" w:cs="Arial"/>
          <w:sz w:val="22"/>
          <w:szCs w:val="22"/>
        </w:rPr>
      </w:pPr>
      <w:r w:rsidRPr="001B7893">
        <w:rPr>
          <w:rFonts w:ascii="Arial" w:hAnsi="Arial" w:cs="Arial"/>
          <w:sz w:val="22"/>
          <w:szCs w:val="22"/>
        </w:rPr>
        <w:t>I. Antecedentes</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1. En sesión celebrada el 4 de mayo de 2011 por la Comisión Permanente del honorable Congreso de la Unión, la diputada María del Pilar Torre Canales, integrante del Grupo Parlamentario de Nueva Alianza, presentó ante el pleno de esa Com</w:t>
      </w:r>
      <w:bookmarkStart w:id="1" w:name="_GoBack"/>
      <w:bookmarkEnd w:id="1"/>
      <w:r w:rsidRPr="001B7893">
        <w:rPr>
          <w:rFonts w:ascii="Arial" w:hAnsi="Arial" w:cs="Arial"/>
          <w:sz w:val="22"/>
          <w:szCs w:val="22"/>
        </w:rPr>
        <w:t>isión Permanente, la iniciativa con proyecto de decreto que reforma los artículos 2, 6, 12, 13, 14, y 42 de la Ley de Ciencia y Tecnología, en ejercicio del derecho conferido por el artículo 71 constitucional.</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2. Con esa misma fecha, la Presidencia de la Mesa Directiva de la Comisión Permanente del Congreso de la Unión turnó la iniciativa para efectos de su estudio, análisis y dictamen correspondiente a la Comisión de Ciencia y Tecnología de la Cámara de Diputados.</w:t>
      </w:r>
    </w:p>
    <w:p w:rsidR="00414CDC" w:rsidRPr="001B7893" w:rsidRDefault="00414CDC" w:rsidP="00414CDC">
      <w:pPr>
        <w:pStyle w:val="derecha"/>
        <w:rPr>
          <w:rFonts w:ascii="Arial" w:hAnsi="Arial" w:cs="Arial"/>
          <w:sz w:val="22"/>
          <w:szCs w:val="22"/>
        </w:rPr>
      </w:pPr>
      <w:r w:rsidRPr="001B7893">
        <w:rPr>
          <w:rStyle w:val="negritas"/>
          <w:rFonts w:ascii="Arial" w:hAnsi="Arial" w:cs="Arial"/>
          <w:sz w:val="22"/>
          <w:szCs w:val="22"/>
        </w:rPr>
        <w:t>II. Contenido de la iniciativa</w:t>
      </w:r>
      <w:r w:rsidRPr="001B7893">
        <w:rPr>
          <w:rFonts w:ascii="Arial" w:hAnsi="Arial" w:cs="Arial"/>
          <w:sz w:val="22"/>
          <w:szCs w:val="22"/>
        </w:rPr>
        <w:t xml:space="preserve"> </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La propuesta de la legisladora señala lo siguiente:</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 xml:space="preserve">A. Pese a que las mujeres mexicanas representan una porción significativa del conjunto de recursos humanos su representación en materia de ciencia, tecnología e innovación así como en otros ámbitos es insuficiente. Es innegable que numerosas mujeres han logrado el éxito y la gratificación profesional en las diversas esferas de la ciencia, pero en general su presencia sigue </w:t>
      </w:r>
      <w:proofErr w:type="spellStart"/>
      <w:r w:rsidRPr="001B7893">
        <w:rPr>
          <w:rFonts w:ascii="Arial" w:hAnsi="Arial" w:cs="Arial"/>
          <w:sz w:val="22"/>
          <w:szCs w:val="22"/>
        </w:rPr>
        <w:t>subrepresentada</w:t>
      </w:r>
      <w:proofErr w:type="spellEnd"/>
      <w:r w:rsidRPr="001B7893">
        <w:rPr>
          <w:rFonts w:ascii="Arial" w:hAnsi="Arial" w:cs="Arial"/>
          <w:sz w:val="22"/>
          <w:szCs w:val="22"/>
        </w:rPr>
        <w:t>.</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 xml:space="preserve">B. Las mujeres que trabajan en estas ramas enfrentan obstáculos y dificultades específicas en su vida profesional mismas que obedecen tanto a factores intrínsecos de los modelos así como a prácticas características de las instituciones que intervienen en la definición de políticas y programas en esta materia. De la misma forma las condicionantes socioculturales limitan su pleno desarrollo, resaltando la persistencia de la delegación de los tradicionales roles </w:t>
      </w:r>
      <w:proofErr w:type="gramStart"/>
      <w:r w:rsidRPr="001B7893">
        <w:rPr>
          <w:rFonts w:ascii="Arial" w:hAnsi="Arial" w:cs="Arial"/>
          <w:sz w:val="22"/>
          <w:szCs w:val="22"/>
        </w:rPr>
        <w:t>domésticos</w:t>
      </w:r>
      <w:proofErr w:type="gramEnd"/>
      <w:r w:rsidRPr="001B7893">
        <w:rPr>
          <w:rFonts w:ascii="Arial" w:hAnsi="Arial" w:cs="Arial"/>
          <w:sz w:val="22"/>
          <w:szCs w:val="22"/>
        </w:rPr>
        <w:t xml:space="preserve"> y del cuidado familiar. Como resultado de estas situaciones, subsisten contextos de discriminación salarial y laboral, que se expresan en menores oportunidades de desarrollo, menores salarios, cargos de menor jerarquía y en una evidente presencia minoritaria en casi todos los niveles del Sistema Nacional de Ciencia, Tecnología e Innovación.</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lastRenderedPageBreak/>
        <w:t>C. A varias décadas de las conferencias internacionales de las mujeres promovidas por la Organización de Naciones Unidas y de los acuerdos firmados por el gobierno de la República Mexicana, muchas son las transformaciones sociales logradas a favor de las mujeres mexicanas.</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Se conoce que existen mecanismos institucionales en los distintos órdenes de gobierno, así como planes para promover la equidad de género y combatir los principales problemas que enfrentan las mujeres, sin embargo, ante la magnitud de los rezagos por la desigualdad de género, aún existen obstáculos y áreas en las que debemos fortalecer los dispositivos de participación femenina, para incrementarlos se necesitan programas específicos de retención y repatriación de mujeres científicas mexicanas. Asimismo, es fundamental incentivar a las niñas para que vean en las ciencias exactas, como las ingenierías y las tecnologías, una vocación.</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D. Es necesario asegurar que las políticas en materia de ciencia y tecnología se consoliden como políticas de estado con perspectiva de género. Ello demanda la implementación de modelos más democráticos y eficaces, que articulen políticas educativas en todos los niveles permitiendo una formación de calidad, con igualdad de acceso y oportunidades para hombres y mujeres.</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Con base en los antecedentes mencionados, los integrantes de esta Comisión dictaminadora formulamos las siguientes:</w:t>
      </w:r>
    </w:p>
    <w:p w:rsidR="00414CDC" w:rsidRPr="001B7893" w:rsidRDefault="00414CDC" w:rsidP="00414CDC">
      <w:pPr>
        <w:pStyle w:val="centrar"/>
        <w:rPr>
          <w:rFonts w:ascii="Arial" w:hAnsi="Arial" w:cs="Arial"/>
          <w:sz w:val="22"/>
          <w:szCs w:val="22"/>
        </w:rPr>
      </w:pPr>
      <w:r w:rsidRPr="001B7893">
        <w:rPr>
          <w:rFonts w:ascii="Arial" w:hAnsi="Arial" w:cs="Arial"/>
          <w:sz w:val="22"/>
          <w:szCs w:val="22"/>
        </w:rPr>
        <w:t>III. Consideraciones</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t>Primera.</w:t>
      </w:r>
      <w:r w:rsidRPr="001B7893">
        <w:rPr>
          <w:rFonts w:ascii="Arial" w:hAnsi="Arial" w:cs="Arial"/>
          <w:sz w:val="22"/>
          <w:szCs w:val="22"/>
        </w:rPr>
        <w:t xml:space="preserve"> La historia demuestra que el impulso al desarrollo científico y tecnológico constituye una solución para enfrentar las crisis económicas. En efecto, la ciencia, la tecnología y la innovación son signos de progreso económico, social y cultural. La ciencia y la tecnología han pasado a formar parte de las fuerzas productivas de las sociedades desarrolladas, constituyendo un factor esencial y transformándose en agentes estratégicos del desarrollo económico y social.</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Es innegable el impulso que se ha dado al desarrollo científico y tecnológico a nivel mundial, sin embargo dicho desarrollo enfrenta una problemática relacionada con la necesidad de establecer condiciones de igualdad de trato entre hombres y mujeres.</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t>Segunda.</w:t>
      </w:r>
      <w:r w:rsidRPr="001B7893">
        <w:rPr>
          <w:rFonts w:ascii="Arial" w:hAnsi="Arial" w:cs="Arial"/>
          <w:sz w:val="22"/>
          <w:szCs w:val="22"/>
        </w:rPr>
        <w:t xml:space="preserve"> Estudios sobre los avances de la mujer en el mundo laboral de la investigación, arrojan como resultado que es escasa la fuerza productiva femenina. Desafortunadamente, la relación social entre los sexos ha sido continuamente legitimada, validada o discutida en función de un modelo antropológico y político, lo cual ha ocasionado, que en relación a las mujeres existan presunciones culturales con gran arraigo histórico sobre su supuesta debilidad física, su vulnerabilidad durante el embarazo y sobre su papel esencial e insustituible para cierto modelo familiar, éstas presunciones sociales con el tiempo se han transformado en prejuicios, que lo único que han demostrado es que existe una real discriminación para el sector femenino de la sociedad.</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 xml:space="preserve">El modelo tradicional del papel de la mujer en la sociedad ha provocado ubicar a las mujeres con base en estereotipos, dentro de los cuales encontramos a un sin </w:t>
      </w:r>
      <w:proofErr w:type="spellStart"/>
      <w:r w:rsidRPr="001B7893">
        <w:rPr>
          <w:rFonts w:ascii="Arial" w:hAnsi="Arial" w:cs="Arial"/>
          <w:sz w:val="22"/>
          <w:szCs w:val="22"/>
        </w:rPr>
        <w:t>numero</w:t>
      </w:r>
      <w:proofErr w:type="spellEnd"/>
      <w:r w:rsidRPr="001B7893">
        <w:rPr>
          <w:rFonts w:ascii="Arial" w:hAnsi="Arial" w:cs="Arial"/>
          <w:sz w:val="22"/>
          <w:szCs w:val="22"/>
        </w:rPr>
        <w:t xml:space="preserve"> de trabajadoras con mucho menos oportunidades de desarrollo y de promoción dentro de sus empleos, segregándolas de manera ocupacional con salarios más bajos que los </w:t>
      </w:r>
      <w:r w:rsidRPr="001B7893">
        <w:rPr>
          <w:rFonts w:ascii="Arial" w:hAnsi="Arial" w:cs="Arial"/>
          <w:sz w:val="22"/>
          <w:szCs w:val="22"/>
        </w:rPr>
        <w:lastRenderedPageBreak/>
        <w:t>masculinos por tareas igualitarias, teniendo que cumplir con requisitos excesivos para efectos de su contratación, como son los análisis de gravidez que son una lamentable realidad laboral que coloca a las mujeres en una situación de inequidad y desventaja.</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t>Tercera.</w:t>
      </w:r>
      <w:r w:rsidRPr="001B7893">
        <w:rPr>
          <w:rFonts w:ascii="Arial" w:hAnsi="Arial" w:cs="Arial"/>
          <w:sz w:val="22"/>
          <w:szCs w:val="22"/>
        </w:rPr>
        <w:t xml:space="preserve"> La discriminación hacia las mujeres se produce de manera individual y colectiva, deliberada e inconscientemente, justificándose en las costumbres y la tradición, provocando que las mujeres, a consecuencia de su género, enfrenten situaciones que les impiden participar con plenitud en la sociedad en la que viven, situaciones como éstas impiden alcanzar un desarrollo equilibrado y productivo del país, pues deja en evidencia la urgencia de desarrollar políticas de igualdad de oportunidades y sobre todo de impulsar una educación igualitaria.</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 xml:space="preserve">En los últimos años el número de mujeres con carreras profesionales ha aumentado notablemente, sin embargo el sector femenino sigue estando poco representado dentro del mundo de la investigación científica, ejemplo de ello es demostrado por la revista </w:t>
      </w:r>
      <w:proofErr w:type="spellStart"/>
      <w:r w:rsidRPr="001B7893">
        <w:rPr>
          <w:rStyle w:val="italicas"/>
          <w:rFonts w:ascii="Arial" w:hAnsi="Arial" w:cs="Arial"/>
          <w:sz w:val="22"/>
          <w:szCs w:val="22"/>
        </w:rPr>
        <w:t>The</w:t>
      </w:r>
      <w:proofErr w:type="spellEnd"/>
      <w:r w:rsidRPr="001B7893">
        <w:rPr>
          <w:rStyle w:val="italicas"/>
          <w:rFonts w:ascii="Arial" w:hAnsi="Arial" w:cs="Arial"/>
          <w:sz w:val="22"/>
          <w:szCs w:val="22"/>
        </w:rPr>
        <w:t xml:space="preserve"> New </w:t>
      </w:r>
      <w:proofErr w:type="spellStart"/>
      <w:r w:rsidRPr="001B7893">
        <w:rPr>
          <w:rStyle w:val="italicas"/>
          <w:rFonts w:ascii="Arial" w:hAnsi="Arial" w:cs="Arial"/>
          <w:sz w:val="22"/>
          <w:szCs w:val="22"/>
        </w:rPr>
        <w:t>England</w:t>
      </w:r>
      <w:proofErr w:type="spellEnd"/>
      <w:r w:rsidRPr="001B7893">
        <w:rPr>
          <w:rStyle w:val="italicas"/>
          <w:rFonts w:ascii="Arial" w:hAnsi="Arial" w:cs="Arial"/>
          <w:sz w:val="22"/>
          <w:szCs w:val="22"/>
        </w:rPr>
        <w:t xml:space="preserve"> </w:t>
      </w:r>
      <w:proofErr w:type="spellStart"/>
      <w:r w:rsidRPr="001B7893">
        <w:rPr>
          <w:rStyle w:val="italicas"/>
          <w:rFonts w:ascii="Arial" w:hAnsi="Arial" w:cs="Arial"/>
          <w:sz w:val="22"/>
          <w:szCs w:val="22"/>
        </w:rPr>
        <w:t>Journal</w:t>
      </w:r>
      <w:proofErr w:type="spellEnd"/>
      <w:r w:rsidRPr="001B7893">
        <w:rPr>
          <w:rStyle w:val="italicas"/>
          <w:rFonts w:ascii="Arial" w:hAnsi="Arial" w:cs="Arial"/>
          <w:sz w:val="22"/>
          <w:szCs w:val="22"/>
        </w:rPr>
        <w:t xml:space="preserve"> of Medicine</w:t>
      </w:r>
      <w:r w:rsidRPr="001B7893">
        <w:rPr>
          <w:rFonts w:ascii="Arial" w:hAnsi="Arial" w:cs="Arial"/>
          <w:sz w:val="22"/>
          <w:szCs w:val="22"/>
        </w:rPr>
        <w:t xml:space="preserve"> quienes realizaron un análisis a seis editoriales y revistas científicas, con la finalidad de conocer el sexo de los autores de publicaciones sobre investigaciones médico científicas. Fueron comparadas publicaciones de 1970, 1980, 1990, 2000 y 2004, los resultados mostraron un aumento significativo de publicaciones de las mujeres a lo largo de estos años, siendo así que en 1970 representaban el 6 por ciento de autoría, alcanzando en 2004 el 29 por ciento, sin embargo </w:t>
      </w:r>
      <w:proofErr w:type="spellStart"/>
      <w:r w:rsidRPr="001B7893">
        <w:rPr>
          <w:rFonts w:ascii="Arial" w:hAnsi="Arial" w:cs="Arial"/>
          <w:sz w:val="22"/>
          <w:szCs w:val="22"/>
        </w:rPr>
        <w:t>aun</w:t>
      </w:r>
      <w:proofErr w:type="spellEnd"/>
      <w:r w:rsidRPr="001B7893">
        <w:rPr>
          <w:rFonts w:ascii="Arial" w:hAnsi="Arial" w:cs="Arial"/>
          <w:sz w:val="22"/>
          <w:szCs w:val="22"/>
        </w:rPr>
        <w:t xml:space="preserve"> resulta una diferencia significativa, si tomamos en cuenta que cada sexo representa la mitad de los profesionales de la medicina. Debe destacarse el hecho de que a pesar que en distintos países el ingreso de mujeres en las diversas carreras ha logrado alcanzar el 50 por ciento, excepto en las áreas de ingeniería, existe un descenso alarmante respecto a su intervención en la investigación científica, en la medida de que asciende su carrera profesional, específicamente al llegar al doctorado.</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t>Cuarta.</w:t>
      </w:r>
      <w:r w:rsidRPr="001B7893">
        <w:rPr>
          <w:rFonts w:ascii="Arial" w:hAnsi="Arial" w:cs="Arial"/>
          <w:sz w:val="22"/>
          <w:szCs w:val="22"/>
        </w:rPr>
        <w:t xml:space="preserve"> La Legisladora proponente señala que en México, según datos proporcionados por el Instituto Nacional de las Mujeres (</w:t>
      </w:r>
      <w:proofErr w:type="spellStart"/>
      <w:r w:rsidRPr="001B7893">
        <w:rPr>
          <w:rFonts w:ascii="Arial" w:hAnsi="Arial" w:cs="Arial"/>
          <w:sz w:val="22"/>
          <w:szCs w:val="22"/>
        </w:rPr>
        <w:t>Inmujeres</w:t>
      </w:r>
      <w:proofErr w:type="spellEnd"/>
      <w:r w:rsidRPr="001B7893">
        <w:rPr>
          <w:rFonts w:ascii="Arial" w:hAnsi="Arial" w:cs="Arial"/>
          <w:sz w:val="22"/>
          <w:szCs w:val="22"/>
        </w:rPr>
        <w:t>) en 2010, que del total de integrantes del Sistema Nacional de Investigadores (SNI), encargado de la formación y consolidación de investigadores con conocimientos científicos y tecnológicos del más alto nivel, sólo la tercera parte son mujeres y que las candidatas, en su mayoría, aplican para las áreas de biología y química, lo que equivale al 27.5 por ciento de los investigadores, e ingeniería representada en un 14.1 por ciento de un total de 15 mil 565 investigadores registrados.</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Las áreas del Sistema Nacional de Investigadores con mayor presencia femenina son las de humanidades, ciencias de la salud y medicina. En las áreas de ciencias físico matemáticas, de la tierra e ingenierías se observó una presencia femenina de solo 18.7 por ciento.</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Durante el foro nacional Mujeres en la Ciencia, la Tecnología y la Innovación en México, que tuvo lugar el pasado mes de marzo de 2011, se hizo nuevamente visible la necesidad de integrar el precepto de equidad de género dentro de las legislaciones de las universidades, instituciones y empresas que realizan actividades de investigación y desarrollo tecnológico y científico a fin de promover la igualdad de oportunidades entre mujeres y hombres. Se destacó, también la importancia de incorporar la perspectiva de género en los procesos de recolección, análisis de datos y divulgación de la información estadística generada por cada universidad y cada institución de educación superior.</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lastRenderedPageBreak/>
        <w:t>Quinta.</w:t>
      </w:r>
      <w:r w:rsidRPr="001B7893">
        <w:rPr>
          <w:rFonts w:ascii="Arial" w:hAnsi="Arial" w:cs="Arial"/>
          <w:sz w:val="22"/>
          <w:szCs w:val="22"/>
        </w:rPr>
        <w:t xml:space="preserve"> Resulta imposible alcanzar un buen gobierno y una buena administración pública simplemente emitiendo una normatividad jurídica que consagre la igualdad entre hombres y mujeres, para ello se requieren medidas proactivas que detecten y corrijan los persistentes y sutiles factores que ponen a las mujeres en desventaja frente a los hombres, resultando indispensable incrementar la perspectiva de género en todos los rubros en los cuales se desarrollan las mujeres, particularmente en el ámbito de la educación científica y tecnológica, previniendo con ello la pérdida de talentos y contribuyendo al desarrollo de nuestro país.</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De todo lo anterior puede concluirse, que es necesaria e impostergable la integración de la perspectiva de género en las políticas y programas de ciencia y tecnología. La perspectiva de género debe acompañarse de una adecuada asignación presupuestaria, para que mujeres y hombres puedan alcanzar una equitativa representación y promoción dentro de la ciencia, la tecnología, la ingeniería y la innovación en los diversos ámbitos como son el industrial, el sector académico, organismos y foros de formulación de políticas y de toma de decisiones a nivel nacional.</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t>Sexta.</w:t>
      </w:r>
      <w:r w:rsidRPr="001B7893">
        <w:rPr>
          <w:rFonts w:ascii="Arial" w:hAnsi="Arial" w:cs="Arial"/>
          <w:sz w:val="22"/>
          <w:szCs w:val="22"/>
        </w:rPr>
        <w:t xml:space="preserve"> Con base en los argumentos planteados en las consideraciones anteriores, es necesario integrar en la Ley de Ciencia y Tecnología el concepto de equidad de género dentro de esta norma reglamentaria de la Constitución, con la finalidad de establecer condiciones de igualdad y representación equitativa entre hombres y mujeres dentro del sector científico, tecnológico e innovación.</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La propuesta de la legisladora Torre Canales dentro de su Iniciativa que reforma los artículos 2o., 12, 14 y 42 de la Ley de Ciencia y Tecnología resultan de gran aportación para enriquecer e implementar el concepto de equidad de género en la ley, con ello se obtiene una herramienta más eficaz para alcanzar el objeto de establecer condiciones equitativas y de igualdad entre ambos sexos.</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Respecto a los artículos 6o. y 13 propuestos a reforma por la diputada se expone lo siguiente:</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El artículo 6o. de la Ley de Ciencia y Tecnología establece las facultades del Consejo General de Investigación Científica, Desarrollo Tecnológico e Innovación. Dentro de la propuesta de la legisladora Torre, se pretende adicionar el concepto “equidad de género” en la fracción VI del artículo citado.</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El contenido de esta fracción es el siguiente:</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w:t>
      </w:r>
      <w:r w:rsidRPr="001B7893">
        <w:rPr>
          <w:rStyle w:val="negritas"/>
          <w:rFonts w:ascii="Arial" w:hAnsi="Arial" w:cs="Arial"/>
          <w:sz w:val="22"/>
          <w:szCs w:val="22"/>
        </w:rPr>
        <w:t>VI.</w:t>
      </w:r>
      <w:r w:rsidRPr="001B7893">
        <w:rPr>
          <w:rFonts w:ascii="Arial" w:hAnsi="Arial" w:cs="Arial"/>
          <w:sz w:val="22"/>
          <w:szCs w:val="22"/>
        </w:rPr>
        <w:t xml:space="preserve"> Aprobar y formular propuestas de políticas y mecanismos de apoyo a la ciencia, la tecnología y la innovación en materia de estímulos fiscales y financieros, facilidades administrativas, de comercio exterior, metrología, normalización, evaluación de la conformidad y régimen de propiedad intelectual;”</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Como se observa, el contenido de esta fracción establece la facultad que tendrá el Consejo General para realizar políticas y mecanismos de apoyo al sector científico, tecnológico y de innovación en ámbitos de carácter administrativo y fiscal, es decir, propondrá estímulos fiscales y financieros, de comercio exterior, régimen de propiedad intelectual, facilidades administrativas, etcétera.</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lastRenderedPageBreak/>
        <w:t>El adicionar el concepto “equidad de género” en este apartado, no tendría congruencia y serían inconsistentes con el contenido plasmado en esta fracción, en base a que, como se ha expuesto, la finalidad de esta fracción es brindar un impulso a las políticas fiscales y administrativas dirigido a los sectores científicos, tecnológicos y de innovación.</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Este razonamiento no significa que se esté en desacuerdo con implementar el concepto “equidad de género”, por el contrario, es indispensable que se ejerzan políticas que ayuden con la igualdad de oportunidades entre mujeres y hombres y se logre el equilibrio entre ambos sexos. Para este caso concreto, corresponde proponer la inclusión de una nueva fracción de este Articulo en la cual, establezca este concepto tan importante para que tenga la congruencia adecuada.</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Respecto al artículo 13 de la Ley de Ciencia y Tecnología, en la cual se propone la adición de una fracción IX se expone lo siguiente:</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Este artículo establece las disposiciones generales del Capítulo IV “Instrumentos de Apoyo a la Investigación Científica, el Desarrollo Tecnológico y la Innovación” en el cual se establece lo siguiente:</w:t>
      </w:r>
    </w:p>
    <w:p w:rsidR="00414CDC" w:rsidRPr="001B7893" w:rsidRDefault="00414CDC" w:rsidP="00414CDC">
      <w:pPr>
        <w:pStyle w:val="sangria"/>
        <w:rPr>
          <w:rFonts w:ascii="Arial" w:hAnsi="Arial" w:cs="Arial"/>
          <w:sz w:val="22"/>
          <w:szCs w:val="22"/>
        </w:rPr>
      </w:pPr>
      <w:r w:rsidRPr="001B7893">
        <w:rPr>
          <w:rStyle w:val="negritas"/>
          <w:rFonts w:ascii="Arial" w:hAnsi="Arial" w:cs="Arial"/>
          <w:sz w:val="22"/>
          <w:szCs w:val="22"/>
        </w:rPr>
        <w:t>“Artículo 13.</w:t>
      </w:r>
      <w:r w:rsidRPr="001B7893">
        <w:rPr>
          <w:rFonts w:ascii="Arial" w:hAnsi="Arial" w:cs="Arial"/>
          <w:sz w:val="22"/>
          <w:szCs w:val="22"/>
        </w:rPr>
        <w:t xml:space="preserve"> </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El gobierno federal apoyará la investigación científica, el desarrollo tecnológico y la innovación mediante los siguientes instrumentos: ...”</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La iniciante propone la adición de una nueva fracción al establecer lo siguiente:</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“IX. Promover en concordancia con la Política Nacional en Materia de Igualdad, las políticas, programas, presupuestos e instrumentos necesarios en materia de investigación científica, desarrollo tecnológico e innovación para eliminar las brechas y desventajas de género.”</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Como se menciona, este artículo hace referencia a los instrumentos de los cuales se apoyará el gobierno federal para desarrollar el sector científico, tecnológico e innovación, entre ellos destacan las siguientes fracciones:</w:t>
      </w:r>
    </w:p>
    <w:p w:rsidR="00414CDC" w:rsidRPr="001B7893" w:rsidRDefault="00414CDC" w:rsidP="00414CDC">
      <w:pPr>
        <w:pStyle w:val="sangria"/>
        <w:rPr>
          <w:rFonts w:ascii="Arial" w:hAnsi="Arial" w:cs="Arial"/>
          <w:sz w:val="22"/>
          <w:szCs w:val="22"/>
        </w:rPr>
      </w:pPr>
      <w:r w:rsidRPr="001B7893">
        <w:rPr>
          <w:rStyle w:val="negritas"/>
          <w:rFonts w:ascii="Arial" w:hAnsi="Arial" w:cs="Arial"/>
          <w:sz w:val="22"/>
          <w:szCs w:val="22"/>
        </w:rPr>
        <w:t>I.</w:t>
      </w:r>
      <w:r w:rsidRPr="001B7893">
        <w:rPr>
          <w:rFonts w:ascii="Arial" w:hAnsi="Arial" w:cs="Arial"/>
          <w:sz w:val="22"/>
          <w:szCs w:val="22"/>
        </w:rPr>
        <w:t xml:space="preserve"> El acopio, procesamiento, sistematización y difusión de información acerca de las actividades de investigación científica, desarrollo tecnológico e innovación que se lleven a cabo en el país y en el extranjero;</w:t>
      </w:r>
    </w:p>
    <w:p w:rsidR="00414CDC" w:rsidRPr="001B7893" w:rsidRDefault="00414CDC" w:rsidP="00414CDC">
      <w:pPr>
        <w:pStyle w:val="sangria"/>
        <w:rPr>
          <w:rFonts w:ascii="Arial" w:hAnsi="Arial" w:cs="Arial"/>
          <w:sz w:val="22"/>
          <w:szCs w:val="22"/>
        </w:rPr>
      </w:pPr>
      <w:r w:rsidRPr="001B7893">
        <w:rPr>
          <w:rStyle w:val="negritas"/>
          <w:rFonts w:ascii="Arial" w:hAnsi="Arial" w:cs="Arial"/>
          <w:sz w:val="22"/>
          <w:szCs w:val="22"/>
        </w:rPr>
        <w:t>II.</w:t>
      </w:r>
      <w:r w:rsidRPr="001B7893">
        <w:rPr>
          <w:rFonts w:ascii="Arial" w:hAnsi="Arial" w:cs="Arial"/>
          <w:sz w:val="22"/>
          <w:szCs w:val="22"/>
        </w:rPr>
        <w:t xml:space="preserve"> La integración, actualización y ejecución del Programa y de los programas y presupuestos anuales de ciencia, tecnología e innovación que se destinen por las diversas dependencias y entidades de la administración pública federal;</w:t>
      </w:r>
    </w:p>
    <w:p w:rsidR="00414CDC" w:rsidRPr="001B7893" w:rsidRDefault="00414CDC" w:rsidP="00414CDC">
      <w:pPr>
        <w:pStyle w:val="sangria"/>
        <w:rPr>
          <w:rFonts w:ascii="Arial" w:hAnsi="Arial" w:cs="Arial"/>
          <w:sz w:val="22"/>
          <w:szCs w:val="22"/>
        </w:rPr>
      </w:pPr>
      <w:r w:rsidRPr="001B7893">
        <w:rPr>
          <w:rStyle w:val="negritas"/>
          <w:rFonts w:ascii="Arial" w:hAnsi="Arial" w:cs="Arial"/>
          <w:sz w:val="22"/>
          <w:szCs w:val="22"/>
        </w:rPr>
        <w:t>III.</w:t>
      </w:r>
      <w:r w:rsidRPr="001B7893">
        <w:rPr>
          <w:rFonts w:ascii="Arial" w:hAnsi="Arial" w:cs="Arial"/>
          <w:sz w:val="22"/>
          <w:szCs w:val="22"/>
        </w:rPr>
        <w:t xml:space="preserve"> La realización de actividades de investigación científica, tecnológica e innovación a cargo de dependencias y entidades de la administración pública federal;</w:t>
      </w:r>
    </w:p>
    <w:p w:rsidR="00414CDC" w:rsidRPr="001B7893" w:rsidRDefault="00414CDC" w:rsidP="00414CDC">
      <w:pPr>
        <w:pStyle w:val="sangria"/>
        <w:rPr>
          <w:rFonts w:ascii="Arial" w:hAnsi="Arial" w:cs="Arial"/>
          <w:sz w:val="22"/>
          <w:szCs w:val="22"/>
        </w:rPr>
      </w:pPr>
      <w:r w:rsidRPr="001B7893">
        <w:rPr>
          <w:rStyle w:val="negritas"/>
          <w:rFonts w:ascii="Arial" w:hAnsi="Arial" w:cs="Arial"/>
          <w:sz w:val="22"/>
          <w:szCs w:val="22"/>
        </w:rPr>
        <w:t>IV.</w:t>
      </w:r>
      <w:r w:rsidRPr="001B7893">
        <w:rPr>
          <w:rFonts w:ascii="Arial" w:hAnsi="Arial" w:cs="Arial"/>
          <w:sz w:val="22"/>
          <w:szCs w:val="22"/>
        </w:rPr>
        <w:t xml:space="preserve"> Los recursos federales que se otorguen, dentro del presupuesto anual de egresos de la federación a las instituciones de educación superior públicas y que conforme a sus programas y normas internas, destinen para la realización de actividades de investigación científica o tecnológica;</w:t>
      </w:r>
    </w:p>
    <w:p w:rsidR="00414CDC" w:rsidRPr="001B7893" w:rsidRDefault="00414CDC" w:rsidP="00414CDC">
      <w:pPr>
        <w:pStyle w:val="sangria"/>
        <w:rPr>
          <w:rFonts w:ascii="Arial" w:hAnsi="Arial" w:cs="Arial"/>
          <w:sz w:val="22"/>
          <w:szCs w:val="22"/>
        </w:rPr>
      </w:pPr>
      <w:r w:rsidRPr="001B7893">
        <w:rPr>
          <w:rStyle w:val="negritas"/>
          <w:rFonts w:ascii="Arial" w:hAnsi="Arial" w:cs="Arial"/>
          <w:sz w:val="22"/>
          <w:szCs w:val="22"/>
        </w:rPr>
        <w:lastRenderedPageBreak/>
        <w:t>V.</w:t>
      </w:r>
      <w:r w:rsidRPr="001B7893">
        <w:rPr>
          <w:rFonts w:ascii="Arial" w:hAnsi="Arial" w:cs="Arial"/>
          <w:sz w:val="22"/>
          <w:szCs w:val="22"/>
        </w:rPr>
        <w:t xml:space="preserve"> Vincular la educación científica y tecnológica con los sectores productivos y de servicios;</w:t>
      </w:r>
    </w:p>
    <w:p w:rsidR="00414CDC" w:rsidRPr="001B7893" w:rsidRDefault="00414CDC" w:rsidP="00414CDC">
      <w:pPr>
        <w:pStyle w:val="sangria"/>
        <w:rPr>
          <w:rFonts w:ascii="Arial" w:hAnsi="Arial" w:cs="Arial"/>
          <w:sz w:val="22"/>
          <w:szCs w:val="22"/>
        </w:rPr>
      </w:pPr>
      <w:r w:rsidRPr="001B7893">
        <w:rPr>
          <w:rStyle w:val="negritas"/>
          <w:rFonts w:ascii="Arial" w:hAnsi="Arial" w:cs="Arial"/>
          <w:sz w:val="22"/>
          <w:szCs w:val="22"/>
        </w:rPr>
        <w:t>VI.</w:t>
      </w:r>
      <w:r w:rsidRPr="001B7893">
        <w:rPr>
          <w:rFonts w:ascii="Arial" w:hAnsi="Arial" w:cs="Arial"/>
          <w:sz w:val="22"/>
          <w:szCs w:val="22"/>
        </w:rPr>
        <w:t xml:space="preserve"> Apoyar la capacidad y el fortalecimiento de las actividades de investigación científica y tecnológica que lleven a cabo las instituciones públicas de educación superior, las que realizarán sus fines de acuerdo a los principios, planes, programas y normas internas que dispongan sus ordenamientos específicos;</w:t>
      </w:r>
    </w:p>
    <w:p w:rsidR="00414CDC" w:rsidRPr="001B7893" w:rsidRDefault="00414CDC" w:rsidP="00414CDC">
      <w:pPr>
        <w:pStyle w:val="sangria"/>
        <w:rPr>
          <w:rFonts w:ascii="Arial" w:hAnsi="Arial" w:cs="Arial"/>
          <w:sz w:val="22"/>
          <w:szCs w:val="22"/>
        </w:rPr>
      </w:pPr>
      <w:r w:rsidRPr="001B7893">
        <w:rPr>
          <w:rStyle w:val="negritas"/>
          <w:rFonts w:ascii="Arial" w:hAnsi="Arial" w:cs="Arial"/>
          <w:sz w:val="22"/>
          <w:szCs w:val="22"/>
        </w:rPr>
        <w:t>VII.</w:t>
      </w:r>
      <w:r w:rsidRPr="001B7893">
        <w:rPr>
          <w:rFonts w:ascii="Arial" w:hAnsi="Arial" w:cs="Arial"/>
          <w:sz w:val="22"/>
          <w:szCs w:val="22"/>
        </w:rPr>
        <w:t xml:space="preserve"> La creación, el financiamiento y la operación de los fondos a que se refiere esta Ley, y</w:t>
      </w:r>
    </w:p>
    <w:p w:rsidR="00414CDC" w:rsidRPr="001B7893" w:rsidRDefault="00414CDC" w:rsidP="00414CDC">
      <w:pPr>
        <w:pStyle w:val="sangria"/>
        <w:rPr>
          <w:rFonts w:ascii="Arial" w:hAnsi="Arial" w:cs="Arial"/>
          <w:sz w:val="22"/>
          <w:szCs w:val="22"/>
        </w:rPr>
      </w:pPr>
      <w:r w:rsidRPr="001B7893">
        <w:rPr>
          <w:rStyle w:val="negritas"/>
          <w:rFonts w:ascii="Arial" w:hAnsi="Arial" w:cs="Arial"/>
          <w:sz w:val="22"/>
          <w:szCs w:val="22"/>
        </w:rPr>
        <w:t>VIII.</w:t>
      </w:r>
      <w:r w:rsidRPr="001B7893">
        <w:rPr>
          <w:rFonts w:ascii="Arial" w:hAnsi="Arial" w:cs="Arial"/>
          <w:sz w:val="22"/>
          <w:szCs w:val="22"/>
        </w:rPr>
        <w:t xml:space="preserve"> Los programas educativos y de normalización, los estímulos fiscales, financieros, facilidades en materia administrativa y de comercio exterior, el régimen de propiedad intelectual, en los términos de los tratados internacionales y leyes específicas aplicables en estas materias.”</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Como se observa, los instrumentos bajo de los cuales el gobierno federal se apoya tienen relación directa con el sector científico, tecnológico y de innovación, entre los que destacan el Programa Especial de Ciencia, Tecnología e Innovación, el Presupuesto de Egresos de la Federación, los presupuestos anuales de ciencia, tecnología e innovación de diversas dependencias y entidades de la administración pública federal, los fondos a los que hace mención la ley, etcétera.</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La propuesta de adicionar una fracción IX con el fin de incluir la Política Nacional en Materia de Igualdad como un instrumento de apoyo al desarrollo científico, tecnológico y de innovación carece de funcionalidad, puesto que, como se ha mencionado en las consideraciones anteriores, establecer políticas que contribuyan a la igualdad y equidad de género siempre será constructivo para la sociedad; la Política Nacional en Materia de Igualdad es un instrumento fundamental para conseguir este objetivo encomendado al Gobierno Federal, consagrado en el Artículo 13 de la Ley General para la Igualdad entre Mujeres y Hombres.</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Es en esta ley donde se tenga que establecer las políticas públicas necesarias para que en estas materias científicas, tecnológicas y de innovación se establezca la aplicación de sus principios, políticas, programas, presupuestos de la Política Nacional en Materia de Igualdad ya que esta política se encuentra regulada en dicha ley.</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Esta comisión reconoce la trascendencia que la Política Nacional en Materia de Igualdad mantiene dentro de la sociedad, sin embrago, no se debe considerar como un instrumento de apoyo que el gobierno federal utilice para impulsar el desarrollo científico, tecnológico e innovación de México.</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Por lo anterior expuesto, la propuesta de reforma y adición de los artículos 6o. y 13 de la Ley de Ciencia y Tecnología contenidas en la Iniciativa materia del presente Dictamen, se consideran atendidas.</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En mérito de lo expuesto, los integrantes de esta comisión dictaminadora sometemos a consideración del pleno de la Cámara de Diputados el siguiente proyecto de</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lastRenderedPageBreak/>
        <w:t>Decreto por el que se reforman y adicionan los artículos 2, 12, 14 y 42 de la Ley de Ciencia y Tecnología</w:t>
      </w:r>
      <w:r w:rsidRPr="001B7893">
        <w:rPr>
          <w:rFonts w:ascii="Arial" w:hAnsi="Arial" w:cs="Arial"/>
          <w:sz w:val="22"/>
          <w:szCs w:val="22"/>
        </w:rPr>
        <w:t xml:space="preserve"> </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t>Artículo Único.</w:t>
      </w:r>
      <w:r w:rsidRPr="001B7893">
        <w:rPr>
          <w:rFonts w:ascii="Arial" w:hAnsi="Arial" w:cs="Arial"/>
          <w:sz w:val="22"/>
          <w:szCs w:val="22"/>
        </w:rPr>
        <w:t xml:space="preserve"> Se reforman los artículos 12, fracción V y 42, párrafo primero; y se adicionan los artículos 2, con una fracción VIII, y 14, con un tercer párrafo, a la Ley de Ciencia y Tecnología, para quedar como sigue:</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t>Artículo 2.</w:t>
      </w:r>
      <w:r w:rsidRPr="001B7893">
        <w:rPr>
          <w:rFonts w:ascii="Arial" w:hAnsi="Arial" w:cs="Arial"/>
          <w:sz w:val="22"/>
          <w:szCs w:val="22"/>
        </w:rPr>
        <w:t xml:space="preserve"> </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I. a V</w:t>
      </w:r>
      <w:proofErr w:type="gramStart"/>
      <w:r w:rsidRPr="001B7893">
        <w:rPr>
          <w:rFonts w:ascii="Arial" w:hAnsi="Arial" w:cs="Arial"/>
          <w:sz w:val="22"/>
          <w:szCs w:val="22"/>
        </w:rPr>
        <w:t>. ...</w:t>
      </w:r>
      <w:proofErr w:type="gramEnd"/>
    </w:p>
    <w:p w:rsidR="00414CDC" w:rsidRPr="001B7893" w:rsidRDefault="00414CDC" w:rsidP="00414CDC">
      <w:pPr>
        <w:pStyle w:val="sangria"/>
        <w:rPr>
          <w:rFonts w:ascii="Arial" w:hAnsi="Arial" w:cs="Arial"/>
          <w:sz w:val="22"/>
          <w:szCs w:val="22"/>
        </w:rPr>
      </w:pPr>
      <w:r w:rsidRPr="001B7893">
        <w:rPr>
          <w:rFonts w:ascii="Arial" w:hAnsi="Arial" w:cs="Arial"/>
          <w:sz w:val="22"/>
          <w:szCs w:val="22"/>
        </w:rPr>
        <w:t>VI. Promover los procesos que hagan posible la definición de prioridades, asignación y optimización de recursos del Gobierno Federal para la ciencia, la tecnología y la innovación en forma participativa;</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 xml:space="preserve">VII. Propiciar el desarrollo regional mediante el establecimiento de redes o alianzas para la investigación científica, el desarrollo tecnológico y la innovación, </w:t>
      </w:r>
      <w:r w:rsidRPr="001B7893">
        <w:rPr>
          <w:rStyle w:val="negritas"/>
          <w:rFonts w:ascii="Arial" w:hAnsi="Arial" w:cs="Arial"/>
          <w:sz w:val="22"/>
          <w:szCs w:val="22"/>
        </w:rPr>
        <w:t>y</w:t>
      </w:r>
      <w:r w:rsidRPr="001B7893">
        <w:rPr>
          <w:rFonts w:ascii="Arial" w:hAnsi="Arial" w:cs="Arial"/>
          <w:sz w:val="22"/>
          <w:szCs w:val="22"/>
        </w:rPr>
        <w:t xml:space="preserve"> </w:t>
      </w:r>
    </w:p>
    <w:p w:rsidR="00414CDC" w:rsidRPr="001B7893" w:rsidRDefault="00414CDC" w:rsidP="00414CDC">
      <w:pPr>
        <w:pStyle w:val="sangria"/>
        <w:rPr>
          <w:rFonts w:ascii="Arial" w:hAnsi="Arial" w:cs="Arial"/>
          <w:sz w:val="22"/>
          <w:szCs w:val="22"/>
        </w:rPr>
      </w:pPr>
      <w:r w:rsidRPr="001B7893">
        <w:rPr>
          <w:rStyle w:val="negritas"/>
          <w:rFonts w:ascii="Arial" w:hAnsi="Arial" w:cs="Arial"/>
          <w:sz w:val="22"/>
          <w:szCs w:val="22"/>
        </w:rPr>
        <w:t xml:space="preserve">VIII. Promover la inclusión de la perspectiva de género con una visión transversal en la ciencia, la tecnología y la innovación, así como una participación equitativa de mujeres y hombres en todos los ámbitos del Sistema Nacional de Ciencia, Tecnología e Innovación. </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t xml:space="preserve">Artículo 12. </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I. a IV. ...</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 xml:space="preserve">V. Las políticas, instrumentos y criterios con los que el Gobierno Federal fomente y apoye la investigación científica, el desarrollo tecnológico y la innovación deberán buscar el mayor efecto benéfico, de estas actividades, en la enseñanza y el aprendizaje de la ciencia y la tecnología, en la calidad de la educación, particularmente de la educación superior, en la vinculación con el sector productivo y de servicios, así como incentivar la participación </w:t>
      </w:r>
      <w:r w:rsidRPr="001B7893">
        <w:rPr>
          <w:rStyle w:val="negritas"/>
          <w:rFonts w:ascii="Arial" w:hAnsi="Arial" w:cs="Arial"/>
          <w:sz w:val="22"/>
          <w:szCs w:val="22"/>
        </w:rPr>
        <w:t>equilibrada y sin discriminación entre mujeres y hombres y el</w:t>
      </w:r>
      <w:r w:rsidRPr="001B7893">
        <w:rPr>
          <w:rFonts w:ascii="Arial" w:hAnsi="Arial" w:cs="Arial"/>
          <w:sz w:val="22"/>
          <w:szCs w:val="22"/>
        </w:rPr>
        <w:t xml:space="preserve"> desarrollo de las nuevas generaciones de investigadores y tecnólogos;</w:t>
      </w:r>
    </w:p>
    <w:p w:rsidR="00414CDC" w:rsidRPr="001B7893" w:rsidRDefault="00414CDC" w:rsidP="00414CDC">
      <w:pPr>
        <w:pStyle w:val="sangria"/>
        <w:rPr>
          <w:rFonts w:ascii="Arial" w:hAnsi="Arial" w:cs="Arial"/>
          <w:sz w:val="22"/>
          <w:szCs w:val="22"/>
        </w:rPr>
      </w:pPr>
      <w:r w:rsidRPr="001B7893">
        <w:rPr>
          <w:rFonts w:ascii="Arial" w:hAnsi="Arial" w:cs="Arial"/>
          <w:sz w:val="22"/>
          <w:szCs w:val="22"/>
        </w:rPr>
        <w:t>VI. a XX. ...</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 xml:space="preserve">Artículo 14. </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lastRenderedPageBreak/>
        <w:t xml:space="preserve">En la medida de lo posible, el sistema deberá incluir información de manera diferenciada entre mujeres y hombres a fin de que se pueda medir el impacto y la incidencia de las políticas y programas en materia de desarrollo científico, tecnológico e innovación. </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t>Artículo 42.</w:t>
      </w:r>
      <w:r w:rsidRPr="001B7893">
        <w:rPr>
          <w:rFonts w:ascii="Arial" w:hAnsi="Arial" w:cs="Arial"/>
          <w:sz w:val="22"/>
          <w:szCs w:val="22"/>
        </w:rPr>
        <w:t xml:space="preserve"> </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 xml:space="preserve">El gobierno federal apoyará la investigación científica y tecnológica que contribuya significativamente a desarrollar un sistema de educación, formación y consolidación de recursos humanos de alta calidad </w:t>
      </w:r>
      <w:r w:rsidRPr="001B7893">
        <w:rPr>
          <w:rStyle w:val="negritas"/>
          <w:rFonts w:ascii="Arial" w:hAnsi="Arial" w:cs="Arial"/>
          <w:sz w:val="22"/>
          <w:szCs w:val="22"/>
        </w:rPr>
        <w:t>en igualdad de oportunidades y acceso entre mujeres y hombres.</w:t>
      </w:r>
      <w:r w:rsidRPr="001B7893">
        <w:rPr>
          <w:rFonts w:ascii="Arial" w:hAnsi="Arial" w:cs="Arial"/>
          <w:sz w:val="22"/>
          <w:szCs w:val="22"/>
        </w:rPr>
        <w:t xml:space="preserve"> </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w:t>
      </w:r>
    </w:p>
    <w:p w:rsidR="00414CDC" w:rsidRPr="001B7893" w:rsidRDefault="00414CDC" w:rsidP="00414CDC">
      <w:pPr>
        <w:pStyle w:val="centrar"/>
        <w:rPr>
          <w:rFonts w:ascii="Arial" w:hAnsi="Arial" w:cs="Arial"/>
          <w:sz w:val="22"/>
          <w:szCs w:val="22"/>
        </w:rPr>
      </w:pPr>
      <w:r w:rsidRPr="001B7893">
        <w:rPr>
          <w:rFonts w:ascii="Arial" w:hAnsi="Arial" w:cs="Arial"/>
          <w:sz w:val="22"/>
          <w:szCs w:val="22"/>
        </w:rPr>
        <w:t>Transitorio</w:t>
      </w:r>
    </w:p>
    <w:p w:rsidR="00414CDC" w:rsidRPr="001B7893" w:rsidRDefault="00414CDC" w:rsidP="00414CDC">
      <w:pPr>
        <w:pStyle w:val="NormalWeb"/>
        <w:rPr>
          <w:rFonts w:ascii="Arial" w:hAnsi="Arial" w:cs="Arial"/>
          <w:sz w:val="22"/>
          <w:szCs w:val="22"/>
        </w:rPr>
      </w:pPr>
      <w:r w:rsidRPr="001B7893">
        <w:rPr>
          <w:rStyle w:val="negritas"/>
          <w:rFonts w:ascii="Arial" w:hAnsi="Arial" w:cs="Arial"/>
          <w:sz w:val="22"/>
          <w:szCs w:val="22"/>
        </w:rPr>
        <w:t>Único.</w:t>
      </w:r>
      <w:r w:rsidRPr="001B7893">
        <w:rPr>
          <w:rFonts w:ascii="Arial" w:hAnsi="Arial" w:cs="Arial"/>
          <w:sz w:val="22"/>
          <w:szCs w:val="22"/>
        </w:rPr>
        <w:t xml:space="preserve"> El presente decreto entrará en vigor el día siguiente al de su publicación en el Diario Oficial de la Federación.</w:t>
      </w:r>
    </w:p>
    <w:p w:rsidR="00414CDC" w:rsidRPr="001B7893" w:rsidRDefault="00414CDC" w:rsidP="00414CDC">
      <w:pPr>
        <w:pStyle w:val="NormalWeb"/>
        <w:rPr>
          <w:rFonts w:ascii="Arial" w:hAnsi="Arial" w:cs="Arial"/>
          <w:sz w:val="22"/>
          <w:szCs w:val="22"/>
        </w:rPr>
      </w:pPr>
      <w:r w:rsidRPr="001B7893">
        <w:rPr>
          <w:rFonts w:ascii="Arial" w:hAnsi="Arial" w:cs="Arial"/>
          <w:sz w:val="22"/>
          <w:szCs w:val="22"/>
        </w:rPr>
        <w:t>Salón de sesiones de la Comisión de Ciencia y Tecnología, Palacio Legislativo de San Lázaro, a los 17 días de agosto de 2011.</w:t>
      </w:r>
    </w:p>
    <w:p w:rsidR="00414CDC" w:rsidRPr="001B7893" w:rsidRDefault="00414CDC" w:rsidP="00414CDC">
      <w:pPr>
        <w:pStyle w:val="firmas"/>
        <w:rPr>
          <w:rFonts w:ascii="Arial" w:hAnsi="Arial" w:cs="Arial"/>
        </w:rPr>
      </w:pPr>
      <w:r w:rsidRPr="001B7893">
        <w:rPr>
          <w:rStyle w:val="negritas"/>
          <w:rFonts w:ascii="Arial" w:hAnsi="Arial" w:cs="Arial"/>
        </w:rPr>
        <w:t>La Comisión de Ciencia y Tecnología</w:t>
      </w:r>
      <w:r w:rsidRPr="001B7893">
        <w:rPr>
          <w:rFonts w:ascii="Arial" w:hAnsi="Arial" w:cs="Arial"/>
        </w:rPr>
        <w:t xml:space="preserve"> </w:t>
      </w:r>
    </w:p>
    <w:p w:rsidR="00414CDC" w:rsidRPr="001B7893" w:rsidRDefault="00414CDC" w:rsidP="00414CDC">
      <w:pPr>
        <w:pStyle w:val="firmas"/>
        <w:rPr>
          <w:rFonts w:ascii="Arial" w:hAnsi="Arial" w:cs="Arial"/>
        </w:rPr>
      </w:pPr>
      <w:r w:rsidRPr="001B7893">
        <w:rPr>
          <w:rStyle w:val="negritas"/>
          <w:rFonts w:ascii="Arial" w:hAnsi="Arial" w:cs="Arial"/>
        </w:rPr>
        <w:t xml:space="preserve">Diputados: </w:t>
      </w:r>
      <w:r w:rsidRPr="001B7893">
        <w:rPr>
          <w:rFonts w:ascii="Arial" w:hAnsi="Arial" w:cs="Arial"/>
        </w:rPr>
        <w:t xml:space="preserve">Reyes Tamez Guerra (rúbrica), presidente; Blanca Juana Soria Morales (rúbrica), Alejandro Bahena Flores (rúbrica), Guadalupe Eduardo Robles Medina (rúbrica), Rodolfo Lara Lagunas (rúbrica), Óscar Román Rosas González, secretarios; Pedro Ávila </w:t>
      </w:r>
      <w:proofErr w:type="spellStart"/>
      <w:r w:rsidRPr="001B7893">
        <w:rPr>
          <w:rFonts w:ascii="Arial" w:hAnsi="Arial" w:cs="Arial"/>
        </w:rPr>
        <w:t>Nevárez</w:t>
      </w:r>
      <w:proofErr w:type="spellEnd"/>
      <w:r w:rsidRPr="001B7893">
        <w:rPr>
          <w:rFonts w:ascii="Arial" w:hAnsi="Arial" w:cs="Arial"/>
        </w:rPr>
        <w:t xml:space="preserve"> (rúbrica), Alejandro del Mazo Maza (rúbrica), José Alberto González Morales, Tomás Gutiérrez Ramírez, Juan Enrique Ibarra Pedroza, Aarón </w:t>
      </w:r>
      <w:proofErr w:type="spellStart"/>
      <w:r w:rsidRPr="001B7893">
        <w:rPr>
          <w:rFonts w:ascii="Arial" w:hAnsi="Arial" w:cs="Arial"/>
        </w:rPr>
        <w:t>Irízar</w:t>
      </w:r>
      <w:proofErr w:type="spellEnd"/>
      <w:r w:rsidRPr="001B7893">
        <w:rPr>
          <w:rFonts w:ascii="Arial" w:hAnsi="Arial" w:cs="Arial"/>
        </w:rPr>
        <w:t xml:space="preserve"> López (rúbrica), José Francisco Landero Gutiérrez (rúbrica), Óscar Lara Salazar, Ana Luz Lobato Ramírez (rúbrica), Oralia López Hernández, José Trinidad Padilla López, César Octavio Pedroza Gaytán, María Isabel Pérez Santos, Jorge Romero </w:t>
      </w:r>
      <w:proofErr w:type="spellStart"/>
      <w:r w:rsidRPr="001B7893">
        <w:rPr>
          <w:rFonts w:ascii="Arial" w:hAnsi="Arial" w:cs="Arial"/>
        </w:rPr>
        <w:t>Romero</w:t>
      </w:r>
      <w:proofErr w:type="spellEnd"/>
      <w:r w:rsidRPr="001B7893">
        <w:rPr>
          <w:rFonts w:ascii="Arial" w:hAnsi="Arial" w:cs="Arial"/>
        </w:rPr>
        <w:t xml:space="preserve"> (rúbrica), José Luis Velasco Lino (rúbrica), José Antonio </w:t>
      </w:r>
      <w:proofErr w:type="spellStart"/>
      <w:r w:rsidRPr="001B7893">
        <w:rPr>
          <w:rFonts w:ascii="Arial" w:hAnsi="Arial" w:cs="Arial"/>
        </w:rPr>
        <w:t>Yglesias</w:t>
      </w:r>
      <w:proofErr w:type="spellEnd"/>
      <w:r w:rsidRPr="001B7893">
        <w:rPr>
          <w:rFonts w:ascii="Arial" w:hAnsi="Arial" w:cs="Arial"/>
        </w:rPr>
        <w:t xml:space="preserve"> Arreola.</w:t>
      </w:r>
    </w:p>
    <w:bookmarkEnd w:id="0"/>
    <w:p w:rsidR="008068BD" w:rsidRPr="001B7893" w:rsidRDefault="001B7893">
      <w:pPr>
        <w:rPr>
          <w:rFonts w:ascii="Arial" w:hAnsi="Arial" w:cs="Arial"/>
        </w:rPr>
      </w:pPr>
    </w:p>
    <w:sectPr w:rsidR="008068BD" w:rsidRPr="001B78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DC"/>
    <w:rsid w:val="001B7893"/>
    <w:rsid w:val="00414CDC"/>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4CD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14CD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14C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14CDC"/>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414CDC"/>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14CDC"/>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14CDC"/>
    <w:rPr>
      <w:b/>
      <w:bCs/>
    </w:rPr>
  </w:style>
  <w:style w:type="character" w:customStyle="1" w:styleId="italicas">
    <w:name w:val="italicas"/>
    <w:basedOn w:val="Fuentedeprrafopredeter"/>
    <w:rsid w:val="00414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4CD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14CD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14C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14CDC"/>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414CDC"/>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14CDC"/>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14CDC"/>
    <w:rPr>
      <w:b/>
      <w:bCs/>
    </w:rPr>
  </w:style>
  <w:style w:type="character" w:customStyle="1" w:styleId="italicas">
    <w:name w:val="italicas"/>
    <w:basedOn w:val="Fuentedeprrafopredeter"/>
    <w:rsid w:val="00414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527">
      <w:bodyDiv w:val="1"/>
      <w:marLeft w:val="150"/>
      <w:marRight w:val="150"/>
      <w:marTop w:val="0"/>
      <w:marBottom w:val="0"/>
      <w:divBdr>
        <w:top w:val="none" w:sz="0" w:space="0" w:color="auto"/>
        <w:left w:val="none" w:sz="0" w:space="0" w:color="auto"/>
        <w:bottom w:val="none" w:sz="0" w:space="0" w:color="auto"/>
        <w:right w:val="none" w:sz="0" w:space="0" w:color="auto"/>
      </w:divBdr>
      <w:divsChild>
        <w:div w:id="1989938120">
          <w:marLeft w:val="0"/>
          <w:marRight w:val="0"/>
          <w:marTop w:val="0"/>
          <w:marBottom w:val="0"/>
          <w:divBdr>
            <w:top w:val="none" w:sz="0" w:space="0" w:color="auto"/>
            <w:left w:val="none" w:sz="0" w:space="0" w:color="auto"/>
            <w:bottom w:val="none" w:sz="0" w:space="0" w:color="auto"/>
            <w:right w:val="none" w:sz="0" w:space="0" w:color="auto"/>
          </w:divBdr>
          <w:divsChild>
            <w:div w:id="1467815857">
              <w:marLeft w:val="0"/>
              <w:marRight w:val="0"/>
              <w:marTop w:val="0"/>
              <w:marBottom w:val="0"/>
              <w:divBdr>
                <w:top w:val="none" w:sz="0" w:space="0" w:color="auto"/>
                <w:left w:val="none" w:sz="0" w:space="0" w:color="auto"/>
                <w:bottom w:val="none" w:sz="0" w:space="0" w:color="auto"/>
                <w:right w:val="none" w:sz="0" w:space="0" w:color="auto"/>
              </w:divBdr>
              <w:divsChild>
                <w:div w:id="1315793496">
                  <w:marLeft w:val="0"/>
                  <w:marRight w:val="0"/>
                  <w:marTop w:val="1500"/>
                  <w:marBottom w:val="0"/>
                  <w:divBdr>
                    <w:top w:val="none" w:sz="0" w:space="0" w:color="auto"/>
                    <w:left w:val="none" w:sz="0" w:space="0" w:color="auto"/>
                    <w:bottom w:val="none" w:sz="0" w:space="0" w:color="auto"/>
                    <w:right w:val="none" w:sz="0" w:space="0" w:color="auto"/>
                  </w:divBdr>
                  <w:divsChild>
                    <w:div w:id="2104916809">
                      <w:marLeft w:val="0"/>
                      <w:marRight w:val="0"/>
                      <w:marTop w:val="1500"/>
                      <w:marBottom w:val="0"/>
                      <w:divBdr>
                        <w:top w:val="none" w:sz="0" w:space="0" w:color="auto"/>
                        <w:left w:val="none" w:sz="0" w:space="0" w:color="auto"/>
                        <w:bottom w:val="none" w:sz="0" w:space="0" w:color="auto"/>
                        <w:right w:val="none" w:sz="0" w:space="0" w:color="auto"/>
                      </w:divBdr>
                      <w:divsChild>
                        <w:div w:id="1018002347">
                          <w:marLeft w:val="0"/>
                          <w:marRight w:val="0"/>
                          <w:marTop w:val="1500"/>
                          <w:marBottom w:val="0"/>
                          <w:divBdr>
                            <w:top w:val="none" w:sz="0" w:space="0" w:color="auto"/>
                            <w:left w:val="none" w:sz="0" w:space="0" w:color="auto"/>
                            <w:bottom w:val="none" w:sz="0" w:space="0" w:color="auto"/>
                            <w:right w:val="none" w:sz="0" w:space="0" w:color="auto"/>
                          </w:divBdr>
                          <w:divsChild>
                            <w:div w:id="191033730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3354</Words>
  <Characters>18449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2011-11-03T20:10:00Z</dcterms:created>
  <dcterms:modified xsi:type="dcterms:W3CDTF">2011-11-03T23:15:00Z</dcterms:modified>
</cp:coreProperties>
</file>