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51" w:rsidRPr="00916551" w:rsidRDefault="00916551" w:rsidP="00916551">
      <w:pPr>
        <w:pStyle w:val="versales"/>
        <w:rPr>
          <w:rFonts w:ascii="Arial" w:hAnsi="Arial" w:cs="Arial"/>
          <w:color w:val="auto"/>
        </w:rPr>
      </w:pPr>
      <w:bookmarkStart w:id="0" w:name="Proposicion13"/>
      <w:r w:rsidRPr="00916551">
        <w:rPr>
          <w:rFonts w:ascii="Arial" w:hAnsi="Arial" w:cs="Arial"/>
          <w:color w:val="auto"/>
        </w:rPr>
        <w:t>Con punto de acuerdo, por el que se exhorta a los gobernadores, a los Congresos locales y a los ayuntamientos a mejorar las condiciones regulatorias que incidan en el proceso product</w:t>
      </w:r>
      <w:bookmarkStart w:id="1" w:name="_GoBack"/>
      <w:bookmarkEnd w:id="1"/>
      <w:r w:rsidRPr="00916551">
        <w:rPr>
          <w:rFonts w:ascii="Arial" w:hAnsi="Arial" w:cs="Arial"/>
          <w:color w:val="auto"/>
        </w:rPr>
        <w:t xml:space="preserve">ivo de las </w:t>
      </w:r>
      <w:proofErr w:type="spellStart"/>
      <w:r w:rsidRPr="00916551">
        <w:rPr>
          <w:rFonts w:ascii="Arial" w:hAnsi="Arial" w:cs="Arial"/>
          <w:color w:val="auto"/>
        </w:rPr>
        <w:t>Mipyme</w:t>
      </w:r>
      <w:proofErr w:type="spellEnd"/>
      <w:r w:rsidRPr="00916551">
        <w:rPr>
          <w:rFonts w:ascii="Arial" w:hAnsi="Arial" w:cs="Arial"/>
          <w:color w:val="auto"/>
        </w:rPr>
        <w:t xml:space="preserve">; y al secretario de Economía, a dar cuenta a la opinión pública sobre los convenios celebrados con las entidades federativas y los municipios a efecto de conseguir los objetivos de la Ley para el Desarrollo de la Competitividad de la Micro, Pequeña y Mediana Empresa, a cargo del diputado Manuel Ignacio Acosta Gutiérrez, del Grupo Parlamentario del PRI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De conformidad con lo dispuesto en los artículos 3, fracción XVIII; 6, fracción I; 62, numeral 2; y 79, fracción II, del Reglamento de la Cámara de Diputados, Manuel Ignacio Acosta Gutiérrez, diputado federal por el estado de Sonora, del Grupo Parlamentario del Partido Revolucionario Institucional de esta LXI Legislatura, presenta a esta honorable soberanía proposición con puntos de acuerdo al tenor de la siguiente</w:t>
      </w:r>
    </w:p>
    <w:p w:rsidR="00916551" w:rsidRPr="00916551" w:rsidRDefault="00916551" w:rsidP="00916551">
      <w:pPr>
        <w:pStyle w:val="centrar"/>
        <w:rPr>
          <w:rFonts w:ascii="Arial" w:hAnsi="Arial" w:cs="Arial"/>
          <w:sz w:val="22"/>
          <w:szCs w:val="22"/>
        </w:rPr>
      </w:pPr>
      <w:r w:rsidRPr="00916551">
        <w:rPr>
          <w:rFonts w:ascii="Arial" w:hAnsi="Arial" w:cs="Arial"/>
          <w:sz w:val="22"/>
          <w:szCs w:val="22"/>
        </w:rPr>
        <w:t>Exposición de Motivos</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Según el Instituto Mexicano para la Competitividad, la competitividad es la capacidad de un país para atraer y retener inversiones y talento.</w:t>
      </w:r>
      <w:r w:rsidRPr="00916551">
        <w:rPr>
          <w:rStyle w:val="superscript"/>
          <w:rFonts w:ascii="Arial" w:hAnsi="Arial" w:cs="Arial"/>
          <w:sz w:val="15"/>
          <w:szCs w:val="15"/>
        </w:rPr>
        <w:t>1</w:t>
      </w:r>
      <w:r w:rsidRPr="00916551">
        <w:rPr>
          <w:rFonts w:ascii="Arial" w:hAnsi="Arial" w:cs="Arial"/>
          <w:sz w:val="22"/>
          <w:szCs w:val="22"/>
        </w:rPr>
        <w:t xml:space="preserve"> Por su parte, la Ley para el Desarrollo de la Competitividad de la Micro, Pequeña y Mediana Empresa señala que la competitividad es la calidad del ambiente económico e institucional para el desarrollo sostenible y sustentable de las actividades privadas y el aumento de la productividad; mientras que a nivel de empresa, se considera que es la capacidad para mantener y fortalecer la rentabilidad y participación de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en los mercados, con base en ventajas asociadas a sus productos o servicios, así como a las condiciones en que los ofrecen.</w:t>
      </w:r>
      <w:r w:rsidRPr="00916551">
        <w:rPr>
          <w:rStyle w:val="superscript"/>
          <w:rFonts w:ascii="Arial" w:hAnsi="Arial" w:cs="Arial"/>
          <w:sz w:val="15"/>
          <w:szCs w:val="15"/>
        </w:rPr>
        <w:t>2</w:t>
      </w:r>
      <w:r w:rsidRPr="00916551">
        <w:rPr>
          <w:rFonts w:ascii="Arial" w:hAnsi="Arial" w:cs="Arial"/>
          <w:sz w:val="22"/>
          <w:szCs w:val="22"/>
        </w:rPr>
        <w:t xml:space="preserve"> En este sentido, se considera que un país competitivo debe ofrecer a todo inversionista un marco regulatorio con reglas claras y que propicie la certeza jurídica en materia económica. Así, el Estado debe proteger aquellos bienes que se consideran valiosos para la sociedad, así como garantizar los derechos de todo agente económico a lo largo del proceso productivo.</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Ser competitivo fomenta el crecimiento de las empresas, ayudando a maximizar el bienestar social de forma sostenida. La interacción del gobierno con todo agente económico debe tener siempre presente la meta de reducir los costos de transacción. Según el estudio </w:t>
      </w:r>
      <w:proofErr w:type="spellStart"/>
      <w:r w:rsidRPr="00916551">
        <w:rPr>
          <w:rStyle w:val="italicas"/>
          <w:rFonts w:ascii="Arial" w:hAnsi="Arial" w:cs="Arial"/>
          <w:sz w:val="22"/>
          <w:szCs w:val="22"/>
        </w:rPr>
        <w:t>Doing</w:t>
      </w:r>
      <w:proofErr w:type="spellEnd"/>
      <w:r w:rsidRPr="00916551">
        <w:rPr>
          <w:rStyle w:val="italicas"/>
          <w:rFonts w:ascii="Arial" w:hAnsi="Arial" w:cs="Arial"/>
          <w:sz w:val="22"/>
          <w:szCs w:val="22"/>
        </w:rPr>
        <w:t xml:space="preserve"> Business,</w:t>
      </w:r>
      <w:r w:rsidRPr="00916551">
        <w:rPr>
          <w:rFonts w:ascii="Arial" w:hAnsi="Arial" w:cs="Arial"/>
          <w:sz w:val="22"/>
          <w:szCs w:val="22"/>
        </w:rPr>
        <w:t xml:space="preserve"> realizado por el Banco Mundial en 2010,</w:t>
      </w:r>
      <w:r w:rsidRPr="00916551">
        <w:rPr>
          <w:rStyle w:val="superscript"/>
          <w:rFonts w:ascii="Arial" w:hAnsi="Arial" w:cs="Arial"/>
          <w:sz w:val="15"/>
          <w:szCs w:val="15"/>
        </w:rPr>
        <w:t>3</w:t>
      </w:r>
      <w:r w:rsidRPr="00916551">
        <w:rPr>
          <w:rFonts w:ascii="Arial" w:hAnsi="Arial" w:cs="Arial"/>
          <w:sz w:val="22"/>
          <w:szCs w:val="22"/>
        </w:rPr>
        <w:t xml:space="preserve"> en la clasificación que mide la facilidad de hacer negocios en un Estado, México ocupa el lugar 41 de 183 economías, el 90 para empezarlos, el 37 para el manejo de permisos de construcción y el 99 en lo que se refiere al registro de propiedades.</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En dicho estudio se analizan las regulaciones que influyen en once fases de la vida empresarial: apertura de una empresa, manejo de permisos de construcción, registro de propiedades, obtención de crédito, protección de inversores, pago de impuestos, comercio transfronterizo, cumplimiento de contratos, cierre de una empresa, obtención de electricidad y empleo de trabajadores. Según el mismo informe, México no cuenta con un ambiente de negocios propicio para la actividad empresarial; por lo que se hace necesaria la implementación de mecanismos de apoyo a la actividad empresarial, en especial, a las micro, pequeñas y medianas empresas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En México, tanto la federación como las entidades federativas y los municipios tienen competencia para regular distintos aspectos que inciden en la gestión de los trámites que </w:t>
      </w:r>
      <w:r w:rsidRPr="00916551">
        <w:rPr>
          <w:rFonts w:ascii="Arial" w:hAnsi="Arial" w:cs="Arial"/>
          <w:sz w:val="22"/>
          <w:szCs w:val="22"/>
        </w:rPr>
        <w:lastRenderedPageBreak/>
        <w:t xml:space="preserve">los particulares se ven obligados a obtener; por ejemplo, las autorizaciones, los vistos buenos, las factibilidades, las licencias o permisos necesarios para poder llevar a cabo cierta actividad comercial. Esta distribución de competencias da como resultado un entramado abundante, complejo y, la mayoría de las veces, </w:t>
      </w:r>
      <w:proofErr w:type="gramStart"/>
      <w:r w:rsidRPr="00916551">
        <w:rPr>
          <w:rFonts w:ascii="Arial" w:hAnsi="Arial" w:cs="Arial"/>
          <w:sz w:val="22"/>
          <w:szCs w:val="22"/>
        </w:rPr>
        <w:t>descoordinado y contradictorio</w:t>
      </w:r>
      <w:proofErr w:type="gramEnd"/>
      <w:r w:rsidRPr="00916551">
        <w:rPr>
          <w:rFonts w:ascii="Arial" w:hAnsi="Arial" w:cs="Arial"/>
          <w:sz w:val="22"/>
          <w:szCs w:val="22"/>
        </w:rPr>
        <w:t xml:space="preserve">, que genera barreras y obstaculiza la actividad empresarial para las </w:t>
      </w:r>
      <w:proofErr w:type="spellStart"/>
      <w:r w:rsidRPr="00916551">
        <w:rPr>
          <w:rFonts w:ascii="Arial" w:hAnsi="Arial" w:cs="Arial"/>
          <w:sz w:val="22"/>
          <w:szCs w:val="22"/>
        </w:rPr>
        <w:t>Mipyme</w:t>
      </w:r>
      <w:proofErr w:type="spellEnd"/>
      <w:r w:rsidRPr="00916551">
        <w:rPr>
          <w:rFonts w:ascii="Arial" w:hAnsi="Arial" w:cs="Arial"/>
          <w:sz w:val="22"/>
          <w:szCs w:val="22"/>
        </w:rPr>
        <w:t>.</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Con el objetivo de ayudar en el fomento de la inversión por medio de un fácil acceso y gestión de diversos trámites empresariales, el gobierno federal ha emprendido diversas acciones. Una de ellas es la implementación de la herramienta informática www.tuempresa.gob.mx; por medio de esta página web se puede tramitar lo siguiente: proyecto de estatutos de la empresa; acta constitutiva; permiso de uso de nombre o denominación social; aviso de uso del permiso de uso de nombre o denominación social; boleta de inscripción del acta constitutiva en el Registro Público del Comercio; cédula de identificación fiscal con clave de Registro Federal de Contribuyentes; y cita ante la Subdelegación del Instituto Mexicano del Seguro Social para recoger la tarjeta del registro patronal.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Por medio del citado portal, y en el caso de sociedades anónimas de capital variable y sociedades de responsabilidad limitada de capital variable, se puede tramitar el permiso de apertura, cubrir los derechos correspondientes y obtener un modelo de los estatutos que regirán la sociedad; con lo cual se obtendrá la documentación completa para acudir ante el fedatario público con el objetivo de obtener la escritura constitutiva. Más aún, el portal sirve de enlace con el fedatario público, el cual podrá ser escogido de una lista oficial; asimismo, sirve de enlace para realizar el envío completo de la información ya ingresada por el usuario.</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La implementación de los medios tecnológicos para la mejora de la gestión de trámites se ha visto reflejada en diversos órganos, entre los que destaca el Registro Público de Comercio. La posibilidad de agilizar los trámites, reducir los tiempos y traslados para la gestión de los trámites, así como la presentación simplificada de la información correspondiente, convierte a los medios tecnológicos en una herramienta de gran utilidad para los empresarios. La concentración de los trámites que deben realizar aquellas personas interesadas en constituir una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implica la coordinación, tanto de las dependencias competentes, como la vinculación con el usuario.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Es preciso destacar que una de las ventajas de la utilización de herramientas novedosas, es que hacen accesible la información jurídica necesaria para los empresarios, mediante la concentración de las leyes y reglamentos aplicables a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Por otra parte, tenemos que las acciones emprendidas en apoyo </w:t>
      </w:r>
      <w:proofErr w:type="gramStart"/>
      <w:r w:rsidRPr="00916551">
        <w:rPr>
          <w:rFonts w:ascii="Arial" w:hAnsi="Arial" w:cs="Arial"/>
          <w:sz w:val="22"/>
          <w:szCs w:val="22"/>
        </w:rPr>
        <w:t>a las micro</w:t>
      </w:r>
      <w:proofErr w:type="gramEnd"/>
      <w:r w:rsidRPr="00916551">
        <w:rPr>
          <w:rFonts w:ascii="Arial" w:hAnsi="Arial" w:cs="Arial"/>
          <w:sz w:val="22"/>
          <w:szCs w:val="22"/>
        </w:rPr>
        <w:t xml:space="preserve">, pequeñas y medianas empresas obedecen al beneficio que generan las mismas. En este sentido, tenemos que el establecimiento de dichas empresas ha impulsado el crecimiento económico y la generación de empleos, lo cual se ve reflejado en el producto interno bruto.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Los programas de ayuda a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se focalizan en el otorgamiento de financiamiento, tanto del sector público como del privado. Al respecto, las opciones utilizadas son microcréditos; adquisición de equipo, adquisición de insumos; adquisición de maquinaria, ampliación y modernización de instalaciones; asistencia técnica; capacitación, </w:t>
      </w:r>
      <w:r w:rsidRPr="00916551">
        <w:rPr>
          <w:rFonts w:ascii="Arial" w:hAnsi="Arial" w:cs="Arial"/>
          <w:sz w:val="22"/>
          <w:szCs w:val="22"/>
        </w:rPr>
        <w:lastRenderedPageBreak/>
        <w:t xml:space="preserve">capitalización; cartas de crédito; centros tecnológicos y laboratorios; desarrollo tecnológico; estudios de mercado; exportación; ferias y exposiciones, garantías; gastos de operación; integración de la cadena productiva; pago de proveedores; pago de sueldos; proveedores; proyectos de inversión para la exportación; servicios fiduciarios; cajas solidarias; proyectos ecológicos; fondo para capacitación y asesoría; y, otros fondos para las Pyme. Para cada una de estas opciones existen instituciones públicas y privadas con programas específicos; por ejemplo, en materia de exportación, Bancomext cuenta con créditos y banca de inversión; en materia de estudios de mercado, el </w:t>
      </w:r>
      <w:proofErr w:type="spellStart"/>
      <w:r w:rsidRPr="00916551">
        <w:rPr>
          <w:rFonts w:ascii="Arial" w:hAnsi="Arial" w:cs="Arial"/>
          <w:sz w:val="22"/>
          <w:szCs w:val="22"/>
        </w:rPr>
        <w:t>Conacyt</w:t>
      </w:r>
      <w:proofErr w:type="spellEnd"/>
      <w:r w:rsidRPr="00916551">
        <w:rPr>
          <w:rFonts w:ascii="Arial" w:hAnsi="Arial" w:cs="Arial"/>
          <w:sz w:val="22"/>
          <w:szCs w:val="22"/>
        </w:rPr>
        <w:t xml:space="preserve"> cuenta con el Programa de Modernización Tecnológica.</w:t>
      </w:r>
      <w:r w:rsidRPr="00916551">
        <w:rPr>
          <w:rStyle w:val="superscript"/>
          <w:rFonts w:ascii="Arial" w:hAnsi="Arial" w:cs="Arial"/>
          <w:sz w:val="15"/>
          <w:szCs w:val="15"/>
        </w:rPr>
        <w:t>4</w:t>
      </w:r>
      <w:r w:rsidRPr="00916551">
        <w:rPr>
          <w:rFonts w:ascii="Arial" w:hAnsi="Arial" w:cs="Arial"/>
          <w:sz w:val="22"/>
          <w:szCs w:val="22"/>
        </w:rPr>
        <w:t xml:space="preserve">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La determinación del tipo de empresa y sus necesidades específicas ayuda a la generación de políticas públicas eficaces y eficientes que coadyuven a la consolidación de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La problemática a la que se enfrentan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es, en gran medida, la falta de condiciones para el desarrollo de las mismas. De esta manera, se considera que no sólo es necesario procurar su financiamiento, sino la construcción de un entorno en el que se puedan desarrollar; es decir, la creación de un ambiente de negocios con estabilidad de gobierno, seguridad pública, apoyo del sector público y fomento de la industria. En este sentido, se encuentran obstáculos concretos como: </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Falta de acceso a la información útil a los empresarios.</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Altos costos de transacción.</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Falta de simplificación y coordinación para la obtención de trámites en los tres niveles de gobierno.</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Altos costos de materias primas, materiales y componentes.</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Capacidad de producción ociosa.</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Elevada imposición tributaria.</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Altas tasas de interés del crédito.</w:t>
      </w:r>
    </w:p>
    <w:p w:rsidR="00916551" w:rsidRPr="00916551" w:rsidRDefault="00916551" w:rsidP="00916551">
      <w:pPr>
        <w:pStyle w:val="sangria"/>
        <w:rPr>
          <w:rFonts w:ascii="Arial" w:hAnsi="Arial" w:cs="Arial"/>
          <w:sz w:val="22"/>
          <w:szCs w:val="22"/>
        </w:rPr>
      </w:pPr>
      <w:r w:rsidRPr="00916551">
        <w:rPr>
          <w:rFonts w:ascii="Arial" w:hAnsi="Arial" w:cs="Arial"/>
          <w:sz w:val="22"/>
          <w:szCs w:val="22"/>
        </w:rPr>
        <w:t>• Elevados costos de transporte, comunicaciones y otros servicios.</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De esta manera, los tres ámbitos de gobierno necesitan redoblar los esfuerzos para apoyar a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durante todo el proceso económico de las mismas; tomando en cuenta no sólo las necesidades regulatorias de los gobiernos, sino también del entorno en el que se desarrollarán. </w:t>
      </w:r>
    </w:p>
    <w:p w:rsidR="00916551" w:rsidRPr="00916551" w:rsidRDefault="00916551" w:rsidP="00916551">
      <w:pPr>
        <w:pStyle w:val="NormalWeb"/>
        <w:rPr>
          <w:rFonts w:ascii="Arial" w:hAnsi="Arial" w:cs="Arial"/>
          <w:sz w:val="22"/>
          <w:szCs w:val="22"/>
        </w:rPr>
      </w:pPr>
      <w:r w:rsidRPr="00916551">
        <w:rPr>
          <w:rFonts w:ascii="Arial" w:hAnsi="Arial" w:cs="Arial"/>
          <w:sz w:val="22"/>
          <w:szCs w:val="22"/>
        </w:rPr>
        <w:t xml:space="preserve">Por lo expuesto y fundado, acudo a este honorable pleno para presentar y solicitar su respaldo a la siguiente proposición con </w:t>
      </w:r>
    </w:p>
    <w:p w:rsidR="00916551" w:rsidRPr="00916551" w:rsidRDefault="00916551" w:rsidP="00916551">
      <w:pPr>
        <w:pStyle w:val="centrar"/>
        <w:rPr>
          <w:rFonts w:ascii="Arial" w:hAnsi="Arial" w:cs="Arial"/>
          <w:sz w:val="22"/>
          <w:szCs w:val="22"/>
        </w:rPr>
      </w:pPr>
      <w:r w:rsidRPr="00916551">
        <w:rPr>
          <w:rFonts w:ascii="Arial" w:hAnsi="Arial" w:cs="Arial"/>
          <w:sz w:val="22"/>
          <w:szCs w:val="22"/>
        </w:rPr>
        <w:t>Puntos de Acuerdo</w:t>
      </w:r>
    </w:p>
    <w:p w:rsidR="00916551" w:rsidRPr="00916551" w:rsidRDefault="00916551" w:rsidP="00916551">
      <w:pPr>
        <w:pStyle w:val="NormalWeb"/>
        <w:rPr>
          <w:rFonts w:ascii="Arial" w:hAnsi="Arial" w:cs="Arial"/>
          <w:sz w:val="22"/>
          <w:szCs w:val="22"/>
        </w:rPr>
      </w:pPr>
      <w:r w:rsidRPr="00916551">
        <w:rPr>
          <w:rStyle w:val="negritas"/>
          <w:rFonts w:ascii="Arial" w:hAnsi="Arial" w:cs="Arial"/>
          <w:sz w:val="22"/>
          <w:szCs w:val="22"/>
        </w:rPr>
        <w:t>Primero.</w:t>
      </w:r>
      <w:r w:rsidRPr="00916551">
        <w:rPr>
          <w:rFonts w:ascii="Arial" w:hAnsi="Arial" w:cs="Arial"/>
          <w:sz w:val="22"/>
          <w:szCs w:val="22"/>
        </w:rPr>
        <w:t xml:space="preserve"> Se exhorta a los titulares del Poder Ejecutivo de las entidades federativas, a los Congresos locales, y a los gobiernos municipales, a efecto de que mejoren las condiciones regulatorias que incidan en la actividad y en el proceso productivo de las </w:t>
      </w:r>
      <w:proofErr w:type="spellStart"/>
      <w:r w:rsidRPr="00916551">
        <w:rPr>
          <w:rFonts w:ascii="Arial" w:hAnsi="Arial" w:cs="Arial"/>
          <w:sz w:val="22"/>
          <w:szCs w:val="22"/>
        </w:rPr>
        <w:t>Mipyme</w:t>
      </w:r>
      <w:proofErr w:type="spellEnd"/>
      <w:r w:rsidRPr="00916551">
        <w:rPr>
          <w:rFonts w:ascii="Arial" w:hAnsi="Arial" w:cs="Arial"/>
          <w:sz w:val="22"/>
          <w:szCs w:val="22"/>
        </w:rPr>
        <w:t xml:space="preserve">, para que éstas cuenten con un ambiente de negocios claro, ordenado y propicio </w:t>
      </w:r>
      <w:r w:rsidRPr="00916551">
        <w:rPr>
          <w:rFonts w:ascii="Arial" w:hAnsi="Arial" w:cs="Arial"/>
          <w:sz w:val="22"/>
          <w:szCs w:val="22"/>
        </w:rPr>
        <w:lastRenderedPageBreak/>
        <w:t>para la eficiencia de los procesos económicos. En específico, procuren la coordinación, coherencia y estricta necesidad de los requerimientos en los trámites de su competencia, favoreciendo el uso de herramientas tecnológicas, el acceso a la información y la mejora regulatoria.</w:t>
      </w:r>
    </w:p>
    <w:p w:rsidR="00916551" w:rsidRPr="00916551" w:rsidRDefault="00916551" w:rsidP="00916551">
      <w:pPr>
        <w:pStyle w:val="NormalWeb"/>
        <w:rPr>
          <w:rFonts w:ascii="Arial" w:hAnsi="Arial" w:cs="Arial"/>
          <w:sz w:val="22"/>
          <w:szCs w:val="22"/>
        </w:rPr>
      </w:pPr>
      <w:r w:rsidRPr="00916551">
        <w:rPr>
          <w:rStyle w:val="negritas"/>
          <w:rFonts w:ascii="Arial" w:hAnsi="Arial" w:cs="Arial"/>
          <w:sz w:val="22"/>
          <w:szCs w:val="22"/>
        </w:rPr>
        <w:t>Segundo.</w:t>
      </w:r>
      <w:r w:rsidRPr="00916551">
        <w:rPr>
          <w:rFonts w:ascii="Arial" w:hAnsi="Arial" w:cs="Arial"/>
          <w:sz w:val="22"/>
          <w:szCs w:val="22"/>
        </w:rPr>
        <w:t xml:space="preserve"> Se exhorta al titular de la Secretaría de Economía a efecto de informar acerca de los convenios considerados en el artículo 13 de la Ley para el Desarrollo de la Competitividad de la Micro, Pequeña y Mediana Empresa, que haya celebrado con las entidades federativas, el Distrito Federal y los municipios para la consecución de los objetivos de la mencionada ley. </w:t>
      </w:r>
    </w:p>
    <w:p w:rsidR="00916551" w:rsidRPr="00916551" w:rsidRDefault="00916551" w:rsidP="00916551">
      <w:pPr>
        <w:pStyle w:val="firmas"/>
        <w:rPr>
          <w:rFonts w:ascii="Arial" w:hAnsi="Arial" w:cs="Arial"/>
        </w:rPr>
      </w:pPr>
      <w:r w:rsidRPr="00916551">
        <w:rPr>
          <w:rStyle w:val="negritas"/>
          <w:rFonts w:ascii="Arial" w:hAnsi="Arial" w:cs="Arial"/>
        </w:rPr>
        <w:t>Notas</w:t>
      </w:r>
      <w:r w:rsidRPr="00916551">
        <w:rPr>
          <w:rFonts w:ascii="Arial" w:hAnsi="Arial" w:cs="Arial"/>
        </w:rPr>
        <w:t xml:space="preserve"> </w:t>
      </w:r>
    </w:p>
    <w:p w:rsidR="00916551" w:rsidRPr="00916551" w:rsidRDefault="00916551" w:rsidP="00916551">
      <w:pPr>
        <w:pStyle w:val="firmas"/>
        <w:rPr>
          <w:rFonts w:ascii="Arial" w:hAnsi="Arial" w:cs="Arial"/>
        </w:rPr>
      </w:pPr>
      <w:r w:rsidRPr="00916551">
        <w:rPr>
          <w:rFonts w:ascii="Arial" w:hAnsi="Arial" w:cs="Arial"/>
        </w:rPr>
        <w:t xml:space="preserve">1 </w:t>
      </w:r>
      <w:r w:rsidRPr="00916551">
        <w:rPr>
          <w:rStyle w:val="italicas"/>
          <w:rFonts w:ascii="Arial" w:hAnsi="Arial" w:cs="Arial"/>
        </w:rPr>
        <w:t>México ante la crisis que cambió al mundo,</w:t>
      </w:r>
      <w:r w:rsidRPr="00916551">
        <w:rPr>
          <w:rFonts w:ascii="Arial" w:hAnsi="Arial" w:cs="Arial"/>
        </w:rPr>
        <w:t xml:space="preserve"> </w:t>
      </w:r>
      <w:proofErr w:type="spellStart"/>
      <w:r w:rsidRPr="00916551">
        <w:rPr>
          <w:rFonts w:ascii="Arial" w:hAnsi="Arial" w:cs="Arial"/>
        </w:rPr>
        <w:t>Imco</w:t>
      </w:r>
      <w:proofErr w:type="spellEnd"/>
      <w:r w:rsidRPr="00916551">
        <w:rPr>
          <w:rFonts w:ascii="Arial" w:hAnsi="Arial" w:cs="Arial"/>
        </w:rPr>
        <w:t>, 2009.</w:t>
      </w:r>
    </w:p>
    <w:p w:rsidR="00916551" w:rsidRPr="00916551" w:rsidRDefault="00916551" w:rsidP="00916551">
      <w:pPr>
        <w:pStyle w:val="firmas"/>
        <w:rPr>
          <w:rFonts w:ascii="Arial" w:hAnsi="Arial" w:cs="Arial"/>
        </w:rPr>
      </w:pPr>
      <w:r w:rsidRPr="00916551">
        <w:rPr>
          <w:rFonts w:ascii="Arial" w:hAnsi="Arial" w:cs="Arial"/>
        </w:rPr>
        <w:t>2 Artículo 3 de la Ley para el Desarrollo de la Competitividad de la Micro, Pequeña y Mediana Empresa, publicada en el Diario Oficial de la Federación el 30 de diciembre de 2002.</w:t>
      </w:r>
    </w:p>
    <w:p w:rsidR="00916551" w:rsidRPr="00916551" w:rsidRDefault="00916551" w:rsidP="00916551">
      <w:pPr>
        <w:pStyle w:val="firmas"/>
        <w:rPr>
          <w:rFonts w:ascii="Arial" w:hAnsi="Arial" w:cs="Arial"/>
        </w:rPr>
      </w:pPr>
      <w:r w:rsidRPr="00916551">
        <w:rPr>
          <w:rFonts w:ascii="Arial" w:hAnsi="Arial" w:cs="Arial"/>
        </w:rPr>
        <w:t>3 www.ifc.org/spanish</w:t>
      </w:r>
    </w:p>
    <w:p w:rsidR="00916551" w:rsidRPr="00916551" w:rsidRDefault="00916551" w:rsidP="00916551">
      <w:pPr>
        <w:pStyle w:val="firmas"/>
        <w:rPr>
          <w:rFonts w:ascii="Arial" w:hAnsi="Arial" w:cs="Arial"/>
        </w:rPr>
      </w:pPr>
      <w:r w:rsidRPr="00916551">
        <w:rPr>
          <w:rStyle w:val="negritas"/>
          <w:rFonts w:ascii="Arial" w:hAnsi="Arial" w:cs="Arial"/>
        </w:rPr>
        <w:t xml:space="preserve">4 </w:t>
      </w:r>
      <w:proofErr w:type="gramStart"/>
      <w:r w:rsidRPr="00916551">
        <w:rPr>
          <w:rStyle w:val="negritas"/>
          <w:rFonts w:ascii="Arial" w:hAnsi="Arial" w:cs="Arial"/>
        </w:rPr>
        <w:t>Fuente</w:t>
      </w:r>
      <w:r w:rsidRPr="00916551">
        <w:rPr>
          <w:rFonts w:ascii="Arial" w:hAnsi="Arial" w:cs="Arial"/>
        </w:rPr>
        <w:t xml:space="preserve"> :</w:t>
      </w:r>
      <w:proofErr w:type="gramEnd"/>
      <w:r w:rsidRPr="00916551">
        <w:rPr>
          <w:rFonts w:ascii="Arial" w:hAnsi="Arial" w:cs="Arial"/>
        </w:rPr>
        <w:t xml:space="preserve"> “Micro, pequeñas y medianas empresas en México. Evolución, funcionamiento y problemática”. Instituto de Investigaciones Legislativas del Senado de la República, julio de 2002. Página web: http://www.senado.gob.mx/iilsen/content/lineas/docs/varios/MPYMEM.pdf</w:t>
      </w:r>
    </w:p>
    <w:p w:rsidR="00916551" w:rsidRPr="00916551" w:rsidRDefault="00916551" w:rsidP="00916551">
      <w:pPr>
        <w:pStyle w:val="derecha"/>
        <w:rPr>
          <w:rFonts w:ascii="Arial" w:hAnsi="Arial" w:cs="Arial"/>
          <w:sz w:val="22"/>
          <w:szCs w:val="22"/>
        </w:rPr>
      </w:pPr>
      <w:r w:rsidRPr="00916551">
        <w:rPr>
          <w:rFonts w:ascii="Arial" w:hAnsi="Arial" w:cs="Arial"/>
          <w:sz w:val="22"/>
          <w:szCs w:val="22"/>
        </w:rPr>
        <w:t>Dado en Palacio Legislativo de San Lázaro, a los 15 días del mes de septiembre del año 2011.</w:t>
      </w:r>
    </w:p>
    <w:p w:rsidR="00916551" w:rsidRPr="00916551" w:rsidRDefault="00916551" w:rsidP="00916551">
      <w:pPr>
        <w:pStyle w:val="firmas"/>
        <w:rPr>
          <w:rFonts w:ascii="Arial" w:hAnsi="Arial" w:cs="Arial"/>
        </w:rPr>
      </w:pPr>
      <w:r w:rsidRPr="00916551">
        <w:rPr>
          <w:rStyle w:val="negritas"/>
          <w:rFonts w:ascii="Arial" w:hAnsi="Arial" w:cs="Arial"/>
        </w:rPr>
        <w:t>Diputados:</w:t>
      </w:r>
      <w:r w:rsidRPr="00916551">
        <w:rPr>
          <w:rFonts w:ascii="Arial" w:hAnsi="Arial" w:cs="Arial"/>
        </w:rPr>
        <w:t xml:space="preserve"> Manuel Ignacio Acosta Gutiérrez, Jesús Alberto Cano Vélez, Ernesto de Lucas Hopkins, Rogelio Manuel Díaz Brown </w:t>
      </w:r>
      <w:proofErr w:type="spellStart"/>
      <w:r w:rsidRPr="00916551">
        <w:rPr>
          <w:rFonts w:ascii="Arial" w:hAnsi="Arial" w:cs="Arial"/>
        </w:rPr>
        <w:t>Ramsburgh</w:t>
      </w:r>
      <w:proofErr w:type="spellEnd"/>
      <w:r w:rsidRPr="00916551">
        <w:rPr>
          <w:rFonts w:ascii="Arial" w:hAnsi="Arial" w:cs="Arial"/>
        </w:rPr>
        <w:t>, José Luis Marcos León, Onésimo Mariscales Delgadillo, Miguel Ernesto Pompa Corella (rúbricas).</w:t>
      </w:r>
    </w:p>
    <w:bookmarkEnd w:id="0"/>
    <w:p w:rsidR="008068BD" w:rsidRPr="00916551" w:rsidRDefault="00916551">
      <w:pPr>
        <w:rPr>
          <w:rFonts w:ascii="Arial" w:hAnsi="Arial" w:cs="Arial"/>
        </w:rPr>
      </w:pPr>
    </w:p>
    <w:sectPr w:rsidR="008068BD" w:rsidRPr="009165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1"/>
    <w:rsid w:val="0091655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655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1655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165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1655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91655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1655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16551"/>
    <w:rPr>
      <w:b/>
      <w:bCs/>
    </w:rPr>
  </w:style>
  <w:style w:type="character" w:customStyle="1" w:styleId="superscript">
    <w:name w:val="superscript"/>
    <w:basedOn w:val="Fuentedeprrafopredeter"/>
    <w:rsid w:val="00916551"/>
    <w:rPr>
      <w:b/>
      <w:bCs/>
      <w:sz w:val="17"/>
      <w:szCs w:val="17"/>
      <w:vertAlign w:val="superscript"/>
    </w:rPr>
  </w:style>
  <w:style w:type="character" w:customStyle="1" w:styleId="italicas">
    <w:name w:val="italicas"/>
    <w:basedOn w:val="Fuentedeprrafopredeter"/>
    <w:rsid w:val="00916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655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1655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165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1655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91655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1655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16551"/>
    <w:rPr>
      <w:b/>
      <w:bCs/>
    </w:rPr>
  </w:style>
  <w:style w:type="character" w:customStyle="1" w:styleId="superscript">
    <w:name w:val="superscript"/>
    <w:basedOn w:val="Fuentedeprrafopredeter"/>
    <w:rsid w:val="00916551"/>
    <w:rPr>
      <w:b/>
      <w:bCs/>
      <w:sz w:val="17"/>
      <w:szCs w:val="17"/>
      <w:vertAlign w:val="superscript"/>
    </w:rPr>
  </w:style>
  <w:style w:type="character" w:customStyle="1" w:styleId="italicas">
    <w:name w:val="italicas"/>
    <w:basedOn w:val="Fuentedeprrafopredeter"/>
    <w:rsid w:val="00916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3207">
      <w:bodyDiv w:val="1"/>
      <w:marLeft w:val="150"/>
      <w:marRight w:val="150"/>
      <w:marTop w:val="0"/>
      <w:marBottom w:val="0"/>
      <w:divBdr>
        <w:top w:val="none" w:sz="0" w:space="0" w:color="auto"/>
        <w:left w:val="none" w:sz="0" w:space="0" w:color="auto"/>
        <w:bottom w:val="none" w:sz="0" w:space="0" w:color="auto"/>
        <w:right w:val="none" w:sz="0" w:space="0" w:color="auto"/>
      </w:divBdr>
      <w:divsChild>
        <w:div w:id="1541893023">
          <w:marLeft w:val="0"/>
          <w:marRight w:val="0"/>
          <w:marTop w:val="0"/>
          <w:marBottom w:val="0"/>
          <w:divBdr>
            <w:top w:val="none" w:sz="0" w:space="0" w:color="auto"/>
            <w:left w:val="none" w:sz="0" w:space="0" w:color="auto"/>
            <w:bottom w:val="none" w:sz="0" w:space="0" w:color="auto"/>
            <w:right w:val="none" w:sz="0" w:space="0" w:color="auto"/>
          </w:divBdr>
          <w:divsChild>
            <w:div w:id="1580941209">
              <w:marLeft w:val="0"/>
              <w:marRight w:val="0"/>
              <w:marTop w:val="0"/>
              <w:marBottom w:val="0"/>
              <w:divBdr>
                <w:top w:val="none" w:sz="0" w:space="0" w:color="auto"/>
                <w:left w:val="none" w:sz="0" w:space="0" w:color="auto"/>
                <w:bottom w:val="none" w:sz="0" w:space="0" w:color="auto"/>
                <w:right w:val="none" w:sz="0" w:space="0" w:color="auto"/>
              </w:divBdr>
              <w:divsChild>
                <w:div w:id="209810442">
                  <w:marLeft w:val="0"/>
                  <w:marRight w:val="0"/>
                  <w:marTop w:val="1500"/>
                  <w:marBottom w:val="0"/>
                  <w:divBdr>
                    <w:top w:val="none" w:sz="0" w:space="0" w:color="auto"/>
                    <w:left w:val="none" w:sz="0" w:space="0" w:color="auto"/>
                    <w:bottom w:val="none" w:sz="0" w:space="0" w:color="auto"/>
                    <w:right w:val="none" w:sz="0" w:space="0" w:color="auto"/>
                  </w:divBdr>
                  <w:divsChild>
                    <w:div w:id="507981374">
                      <w:marLeft w:val="0"/>
                      <w:marRight w:val="0"/>
                      <w:marTop w:val="1500"/>
                      <w:marBottom w:val="0"/>
                      <w:divBdr>
                        <w:top w:val="none" w:sz="0" w:space="0" w:color="auto"/>
                        <w:left w:val="none" w:sz="0" w:space="0" w:color="auto"/>
                        <w:bottom w:val="none" w:sz="0" w:space="0" w:color="auto"/>
                        <w:right w:val="none" w:sz="0" w:space="0" w:color="auto"/>
                      </w:divBdr>
                      <w:divsChild>
                        <w:div w:id="552692878">
                          <w:marLeft w:val="0"/>
                          <w:marRight w:val="0"/>
                          <w:marTop w:val="1500"/>
                          <w:marBottom w:val="0"/>
                          <w:divBdr>
                            <w:top w:val="none" w:sz="0" w:space="0" w:color="auto"/>
                            <w:left w:val="none" w:sz="0" w:space="0" w:color="auto"/>
                            <w:bottom w:val="none" w:sz="0" w:space="0" w:color="auto"/>
                            <w:right w:val="none" w:sz="0" w:space="0" w:color="auto"/>
                          </w:divBdr>
                          <w:divsChild>
                            <w:div w:id="101655068">
                              <w:marLeft w:val="0"/>
                              <w:marRight w:val="0"/>
                              <w:marTop w:val="1500"/>
                              <w:marBottom w:val="0"/>
                              <w:divBdr>
                                <w:top w:val="none" w:sz="0" w:space="0" w:color="auto"/>
                                <w:left w:val="none" w:sz="0" w:space="0" w:color="auto"/>
                                <w:bottom w:val="none" w:sz="0" w:space="0" w:color="auto"/>
                                <w:right w:val="none" w:sz="0" w:space="0" w:color="auto"/>
                              </w:divBdr>
                              <w:divsChild>
                                <w:div w:id="1483083827">
                                  <w:marLeft w:val="0"/>
                                  <w:marRight w:val="0"/>
                                  <w:marTop w:val="1500"/>
                                  <w:marBottom w:val="0"/>
                                  <w:divBdr>
                                    <w:top w:val="none" w:sz="0" w:space="0" w:color="auto"/>
                                    <w:left w:val="none" w:sz="0" w:space="0" w:color="auto"/>
                                    <w:bottom w:val="none" w:sz="0" w:space="0" w:color="auto"/>
                                    <w:right w:val="none" w:sz="0" w:space="0" w:color="auto"/>
                                  </w:divBdr>
                                  <w:divsChild>
                                    <w:div w:id="1054891984">
                                      <w:marLeft w:val="0"/>
                                      <w:marRight w:val="0"/>
                                      <w:marTop w:val="1500"/>
                                      <w:marBottom w:val="0"/>
                                      <w:divBdr>
                                        <w:top w:val="none" w:sz="0" w:space="0" w:color="auto"/>
                                        <w:left w:val="none" w:sz="0" w:space="0" w:color="auto"/>
                                        <w:bottom w:val="none" w:sz="0" w:space="0" w:color="auto"/>
                                        <w:right w:val="none" w:sz="0" w:space="0" w:color="auto"/>
                                      </w:divBdr>
                                      <w:divsChild>
                                        <w:div w:id="1215776147">
                                          <w:marLeft w:val="0"/>
                                          <w:marRight w:val="0"/>
                                          <w:marTop w:val="1500"/>
                                          <w:marBottom w:val="0"/>
                                          <w:divBdr>
                                            <w:top w:val="none" w:sz="0" w:space="0" w:color="auto"/>
                                            <w:left w:val="none" w:sz="0" w:space="0" w:color="auto"/>
                                            <w:bottom w:val="none" w:sz="0" w:space="0" w:color="auto"/>
                                            <w:right w:val="none" w:sz="0" w:space="0" w:color="auto"/>
                                          </w:divBdr>
                                          <w:divsChild>
                                            <w:div w:id="285504765">
                                              <w:marLeft w:val="0"/>
                                              <w:marRight w:val="0"/>
                                              <w:marTop w:val="1500"/>
                                              <w:marBottom w:val="0"/>
                                              <w:divBdr>
                                                <w:top w:val="none" w:sz="0" w:space="0" w:color="auto"/>
                                                <w:left w:val="none" w:sz="0" w:space="0" w:color="auto"/>
                                                <w:bottom w:val="none" w:sz="0" w:space="0" w:color="auto"/>
                                                <w:right w:val="none" w:sz="0" w:space="0" w:color="auto"/>
                                              </w:divBdr>
                                              <w:divsChild>
                                                <w:div w:id="1444422705">
                                                  <w:marLeft w:val="0"/>
                                                  <w:marRight w:val="0"/>
                                                  <w:marTop w:val="1500"/>
                                                  <w:marBottom w:val="0"/>
                                                  <w:divBdr>
                                                    <w:top w:val="none" w:sz="0" w:space="0" w:color="auto"/>
                                                    <w:left w:val="none" w:sz="0" w:space="0" w:color="auto"/>
                                                    <w:bottom w:val="none" w:sz="0" w:space="0" w:color="auto"/>
                                                    <w:right w:val="none" w:sz="0" w:space="0" w:color="auto"/>
                                                  </w:divBdr>
                                                  <w:divsChild>
                                                    <w:div w:id="1484932897">
                                                      <w:marLeft w:val="0"/>
                                                      <w:marRight w:val="0"/>
                                                      <w:marTop w:val="1500"/>
                                                      <w:marBottom w:val="0"/>
                                                      <w:divBdr>
                                                        <w:top w:val="none" w:sz="0" w:space="0" w:color="auto"/>
                                                        <w:left w:val="none" w:sz="0" w:space="0" w:color="auto"/>
                                                        <w:bottom w:val="none" w:sz="0" w:space="0" w:color="auto"/>
                                                        <w:right w:val="none" w:sz="0" w:space="0" w:color="auto"/>
                                                      </w:divBdr>
                                                      <w:divsChild>
                                                        <w:div w:id="1542328143">
                                                          <w:marLeft w:val="0"/>
                                                          <w:marRight w:val="0"/>
                                                          <w:marTop w:val="1500"/>
                                                          <w:marBottom w:val="0"/>
                                                          <w:divBdr>
                                                            <w:top w:val="none" w:sz="0" w:space="0" w:color="auto"/>
                                                            <w:left w:val="none" w:sz="0" w:space="0" w:color="auto"/>
                                                            <w:bottom w:val="none" w:sz="0" w:space="0" w:color="auto"/>
                                                            <w:right w:val="none" w:sz="0" w:space="0" w:color="auto"/>
                                                          </w:divBdr>
                                                          <w:divsChild>
                                                            <w:div w:id="139666667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2011-10-20T18:22:00Z</dcterms:created>
  <dcterms:modified xsi:type="dcterms:W3CDTF">2011-10-20T18:36:00Z</dcterms:modified>
</cp:coreProperties>
</file>