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DE" w:rsidRPr="007838E3" w:rsidRDefault="00CC30DE" w:rsidP="00CC30DE">
      <w:pPr>
        <w:pStyle w:val="versales"/>
        <w:rPr>
          <w:rFonts w:ascii="Arial" w:hAnsi="Arial" w:cs="Arial"/>
          <w:color w:val="auto"/>
        </w:rPr>
      </w:pPr>
      <w:bookmarkStart w:id="0" w:name="DictamenPropo11"/>
      <w:r w:rsidRPr="007838E3">
        <w:rPr>
          <w:rFonts w:ascii="Arial" w:hAnsi="Arial" w:cs="Arial"/>
          <w:color w:val="auto"/>
        </w:rPr>
        <w:t xml:space="preserve">De la Comisión de Comunicaciones, con punto de acuerdo por el que se solicita la intervención del gobierno federal en el conflicto suscitado en el sector de las telecomunicaciones </w:t>
      </w:r>
    </w:p>
    <w:p w:rsidR="00CC30DE" w:rsidRPr="007838E3" w:rsidRDefault="00CC30DE" w:rsidP="00CC30DE">
      <w:pPr>
        <w:pStyle w:val="NormalWeb"/>
        <w:rPr>
          <w:rFonts w:ascii="Arial" w:hAnsi="Arial" w:cs="Arial"/>
          <w:sz w:val="22"/>
          <w:szCs w:val="22"/>
        </w:rPr>
      </w:pPr>
      <w:r w:rsidRPr="007838E3">
        <w:rPr>
          <w:rStyle w:val="negritas"/>
          <w:rFonts w:ascii="Arial" w:hAnsi="Arial" w:cs="Arial"/>
          <w:sz w:val="22"/>
          <w:szCs w:val="22"/>
        </w:rPr>
        <w:t>Honorable Asamblea:</w:t>
      </w:r>
      <w:r w:rsidRPr="007838E3">
        <w:rPr>
          <w:rFonts w:ascii="Arial" w:hAnsi="Arial" w:cs="Arial"/>
          <w:sz w:val="22"/>
          <w:szCs w:val="22"/>
        </w:rPr>
        <w:t xml:space="preserve"> </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Con fundamento en lo dispuesto en los artículos 39, 44 y 45 de la Ley Orgánica del Congreso General de los Estados Unidos Mexicanos; y 80 y 85 del Reglamento de la Cámara de Diputados del Congreso de la Unión; la Comisión de Comunicaciones somete a consideración del pleno de esta asamblea el presente dictamen, al tenor de los siguientes</w:t>
      </w:r>
    </w:p>
    <w:p w:rsidR="00CC30DE" w:rsidRPr="007838E3" w:rsidRDefault="00CC30DE" w:rsidP="00CC30DE">
      <w:pPr>
        <w:pStyle w:val="NormalWeb"/>
        <w:rPr>
          <w:rFonts w:ascii="Arial" w:hAnsi="Arial" w:cs="Arial"/>
          <w:sz w:val="22"/>
          <w:szCs w:val="22"/>
        </w:rPr>
      </w:pPr>
      <w:r w:rsidRPr="007838E3">
        <w:rPr>
          <w:rStyle w:val="negritas"/>
          <w:rFonts w:ascii="Arial" w:hAnsi="Arial" w:cs="Arial"/>
          <w:sz w:val="22"/>
          <w:szCs w:val="22"/>
        </w:rPr>
        <w:t>Antecedentes</w:t>
      </w:r>
      <w:r w:rsidRPr="007838E3">
        <w:rPr>
          <w:rFonts w:ascii="Arial" w:hAnsi="Arial" w:cs="Arial"/>
          <w:sz w:val="22"/>
          <w:szCs w:val="22"/>
        </w:rPr>
        <w:t xml:space="preserve"> </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 xml:space="preserve">I. En sesión ordinaria celebrada en fecha 15 </w:t>
      </w:r>
      <w:bookmarkStart w:id="1" w:name="_GoBack"/>
      <w:bookmarkEnd w:id="1"/>
      <w:r w:rsidRPr="007838E3">
        <w:rPr>
          <w:rFonts w:ascii="Arial" w:hAnsi="Arial" w:cs="Arial"/>
          <w:sz w:val="22"/>
          <w:szCs w:val="22"/>
        </w:rPr>
        <w:t>de marzo de 2011 se dio cuenta a la asamblea de la Cámara de Diputados del Congreso de la Unión de la proposición con punto de acuerdo para solicitar la intervención del gobierno federal en el conflicto suscitado en el sector de las telecomunicaciones, suscrita por el diputado Francisco Hernández Juárez, del Grupo Parlamentario del Partido de la Revolución Democrática.</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II. En la misma sesión, la Mesa Directiva de la Cámara de Diputados, en uso de sus facultades y mediante el oficio número DGPL 61-II-2-1084, instruyó el turno de la proposición con punto de acuerdo a la Comisión de Comunicaciones, para estudio y dictamen.</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III. Con base en lo anterior, la Comisión de Comunicaciones de la LXI Legislatura de la Cámara de Diputados procedió al análisis y la elaboración del presente dictamen.</w:t>
      </w:r>
    </w:p>
    <w:p w:rsidR="00CC30DE" w:rsidRPr="007838E3" w:rsidRDefault="00CC30DE" w:rsidP="00CC30DE">
      <w:pPr>
        <w:pStyle w:val="NormalWeb"/>
        <w:rPr>
          <w:rFonts w:ascii="Arial" w:hAnsi="Arial" w:cs="Arial"/>
          <w:sz w:val="22"/>
          <w:szCs w:val="22"/>
        </w:rPr>
      </w:pPr>
      <w:r w:rsidRPr="007838E3">
        <w:rPr>
          <w:rStyle w:val="negritas"/>
          <w:rFonts w:ascii="Arial" w:hAnsi="Arial" w:cs="Arial"/>
          <w:sz w:val="22"/>
          <w:szCs w:val="22"/>
        </w:rPr>
        <w:t>Contenido de la proposición</w:t>
      </w:r>
      <w:r w:rsidRPr="007838E3">
        <w:rPr>
          <w:rFonts w:ascii="Arial" w:hAnsi="Arial" w:cs="Arial"/>
          <w:sz w:val="22"/>
          <w:szCs w:val="22"/>
        </w:rPr>
        <w:t xml:space="preserve"> </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El diputado proponente argumenta que las telecomunicaciones se han convertido en una necesidad básica: desde las comunidades más alejadas hasta los grandes centros financieros usan estos servicios.</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De la misma forma, constituyen un medio estratégico para el desarrollo social y la modernización económica. Son un sector cuyo crecimiento y avance tecnológico son más dinámicos que los del conjunto de la economía y son los más ambicionados por sus perspectivas de desarrollo y potencialidad económica.</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Sin embargo, para que el sector responda a las necesidades de desarrollo de la nación es fundamental que se garanticen la cobertura de estos servicios, la convergencia de los avances tecnológicos y una competencia sana en el mercado.</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 xml:space="preserve">Señala el diputado Hernández Juárez que no hay una política de Estado para el sector, y que el manejo de las telecomunicaciones ha dado lugar a mayor rezago en cobertura y en avance tecnológico, medidas contradictorias, un marco legal disperso e incoherente y, en consecuencia, en campo de disputa de las grandes empresas, las telecomunicaciones no se conciben como elemento clave para el desarrollo. Esta situación ha creado un </w:t>
      </w:r>
      <w:r w:rsidRPr="007838E3">
        <w:rPr>
          <w:rFonts w:ascii="Arial" w:hAnsi="Arial" w:cs="Arial"/>
          <w:sz w:val="22"/>
          <w:szCs w:val="22"/>
        </w:rPr>
        <w:lastRenderedPageBreak/>
        <w:t>ambiente de confrontación en que las diferencias se resuelven, la mayoría de ellas, por la vía judicial.</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Expresa que las decisiones, tardías y contradictorias, que ha tomado la autoridad sólo han servido para proteger intereses determinados y escogidos de conglomerados o empresas cuya responsabilidad social por el manejo del sector es nula. El único interés que tienen –continúa el legislador– es explotar a los grupos de mayores ingresos, los que tienen mayores consumos, abandonando los sectores mayoritarios, cuyo consumo es menor y cuyas necesidades para su integración al desarrollo nacional, las telecomunicaciones y la convergencia son mayores.</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Más aún, sin una regulación precisa, sin autoridades que se rijan por criterios justos y equitativos con propósitos estratégicos y de largo plazo, el manejo del sector ha quedado en manos de operadores cuyo interés es exclusivamente el lucro, sin responsabilidad y corresponsabilidad social y política con el país. Los consumidores quedan a merced de las condiciones que estas empresas establezcan.</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Ello ha derivado en que la inversión en el mercado no sea de la magnitud de las necesidades ni suficiente para atemperar el rezago del país en materia de telecomunicaciones y convergencia, con la consiguiente pérdida de oportunidades de desarrollo y crecimiento para amplios sectores productivos y de los servicios, y lejos de amplios sectores de la población que se encuentran sin acceso a estas posibilidades. Competitivamente, a escala internacional, nos encontramos rezagados, y la integración a la globalización se da de manera subordinada y atrasada.</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Asimismo, expresa que el escenario a que debemos aspirar en el corto plazo es uno en que predominen la sana competencia, mayor calidad y la plena convergencia de los servicios. El gobierno manifiesta que las decisiones que ha tomado van en ese sentido, pero en realidad propician la dispersión de esfuerzos, la escasez de opciones y la baja calidad. La decisión del gobierno federal y de los organismos reguladores del sector es por la opción de fortalecer un grupo de empresas con el supuesto compromiso de impulsar el desarrollo de las telecomunicaciones, pero lo que se está haciendo es concederles canonjías a cambio de apoyo político frente a los procesos electorales venideros.</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Considera el diputado proponente reprobable que la decisión del Ejecutivo de afianzar a un grupo de empresas sea eminentemente política; apuestan a que el manejo de los medios sea un factor decisivo para las elecciones estatales y las federales. Las concesiones, los contratos y las licitaciones dispensadas, tanto al duopolio televisivo de Azcárraga Jean y Salinas Pliego, como a las empresas dirigidas por Gil Díaz y su socio Roberto Hernández no garantizan mejores condiciones de competencia ni mejor calidad del servicio; han desfondado la hacienda pública y exhibido su incapacidad económica para desarrollar el sector.</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De la misma forma, constreñir la expansión de una empresa como Telmex tampoco es justificable. Debe normarse para que aporte el mayor esfuerzo para el desarrollo de las telecomunicaciones y la convergencia y obligarla a tener mayor responsabilidad social. Se deben ofrecer condiciones de competencia abiertas y dotar de certidumbre jurídica a los futuros inversionistas para compartir el mercado.</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lastRenderedPageBreak/>
        <w:t>En este orden de ideas, el ambiente creado por los gobiernos de Fox y de Calderón en el sector de las telecomunicaciones ha sido propiciado por la indefinición, parcialidad y complicidad con que han actuado, llevando a Telmex a una reestructuración corporativa para atender 46 por ciento de los clientes que tienen que subsidiarse por sus bajos ingresos y que sería incapaz de pagar los costos de la interconexión. Éste es un segmento del mercado que no interesa a las demás empresas por su baja rentabilidad. Tal medida tendrá un efecto en los 60 mil trabajadores que componen la plantilla laboral de Teléfonos de México.</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 xml:space="preserve">Al hacer referencia a las telecomunicaciones, el legislador manifiesta que es un sector estratégico propiedad de la nación, que opera mediante concesiones que otorga el Estado. Es inadmisible que los titulares de la SCT, de la </w:t>
      </w:r>
      <w:proofErr w:type="spellStart"/>
      <w:r w:rsidRPr="007838E3">
        <w:rPr>
          <w:rFonts w:ascii="Arial" w:hAnsi="Arial" w:cs="Arial"/>
          <w:sz w:val="22"/>
          <w:szCs w:val="22"/>
        </w:rPr>
        <w:t>Cofeco</w:t>
      </w:r>
      <w:proofErr w:type="spellEnd"/>
      <w:r w:rsidRPr="007838E3">
        <w:rPr>
          <w:rFonts w:ascii="Arial" w:hAnsi="Arial" w:cs="Arial"/>
          <w:sz w:val="22"/>
          <w:szCs w:val="22"/>
        </w:rPr>
        <w:t xml:space="preserve"> y de la </w:t>
      </w:r>
      <w:proofErr w:type="spellStart"/>
      <w:r w:rsidRPr="007838E3">
        <w:rPr>
          <w:rFonts w:ascii="Arial" w:hAnsi="Arial" w:cs="Arial"/>
          <w:sz w:val="22"/>
          <w:szCs w:val="22"/>
        </w:rPr>
        <w:t>Cofetel</w:t>
      </w:r>
      <w:proofErr w:type="spellEnd"/>
      <w:r w:rsidRPr="007838E3">
        <w:rPr>
          <w:rFonts w:ascii="Arial" w:hAnsi="Arial" w:cs="Arial"/>
          <w:sz w:val="22"/>
          <w:szCs w:val="22"/>
        </w:rPr>
        <w:t xml:space="preserve"> sean testigos mudos de esta disputa por la riqueza nacional y que como autoridades no intervengan en aras del interés nacional que el Estado debe defender.</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Argumenta que no es posible que la SCT se limite a decir que no recibe presiones y que por eso abdica de sus obligaciones como regulador; que esgrima una supuesta “falta de condiciones” para alcanzar acuerdos y que deje que las empresas diriman las diferencias como mejor les parezca.</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 xml:space="preserve">Concluye exhortando a los titulares de la Secretaría de Comunicaciones y Transportes, de la </w:t>
      </w:r>
      <w:proofErr w:type="spellStart"/>
      <w:r w:rsidRPr="007838E3">
        <w:rPr>
          <w:rFonts w:ascii="Arial" w:hAnsi="Arial" w:cs="Arial"/>
          <w:sz w:val="22"/>
          <w:szCs w:val="22"/>
        </w:rPr>
        <w:t>Cofetel</w:t>
      </w:r>
      <w:proofErr w:type="spellEnd"/>
      <w:r w:rsidRPr="007838E3">
        <w:rPr>
          <w:rFonts w:ascii="Arial" w:hAnsi="Arial" w:cs="Arial"/>
          <w:sz w:val="22"/>
          <w:szCs w:val="22"/>
        </w:rPr>
        <w:t xml:space="preserve"> y de la </w:t>
      </w:r>
      <w:proofErr w:type="spellStart"/>
      <w:r w:rsidRPr="007838E3">
        <w:rPr>
          <w:rFonts w:ascii="Arial" w:hAnsi="Arial" w:cs="Arial"/>
          <w:sz w:val="22"/>
          <w:szCs w:val="22"/>
        </w:rPr>
        <w:t>Cofeco</w:t>
      </w:r>
      <w:proofErr w:type="spellEnd"/>
      <w:r w:rsidRPr="007838E3">
        <w:rPr>
          <w:rFonts w:ascii="Arial" w:hAnsi="Arial" w:cs="Arial"/>
          <w:sz w:val="22"/>
          <w:szCs w:val="22"/>
        </w:rPr>
        <w:t xml:space="preserve"> a intervenir en el marco de sus atribuciones para dar solución inmediata conforme a derecho en el presente conflicto.</w:t>
      </w:r>
    </w:p>
    <w:p w:rsidR="00CC30DE" w:rsidRPr="007838E3" w:rsidRDefault="00CC30DE" w:rsidP="00CC30DE">
      <w:pPr>
        <w:pStyle w:val="centrar"/>
        <w:rPr>
          <w:rFonts w:ascii="Arial" w:hAnsi="Arial" w:cs="Arial"/>
          <w:sz w:val="22"/>
          <w:szCs w:val="22"/>
        </w:rPr>
      </w:pPr>
      <w:r w:rsidRPr="007838E3">
        <w:rPr>
          <w:rFonts w:ascii="Arial" w:hAnsi="Arial" w:cs="Arial"/>
          <w:sz w:val="22"/>
          <w:szCs w:val="22"/>
        </w:rPr>
        <w:t>Consideraciones</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1. La comisión dictaminadora realizó el estudio y análisis de los planteamientos contenidos en la proposición referida, con objeto de valorar sus argumentos, deliberar e integrar el presente dictamen.</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2. De la misma forma, los integrantes de la comisión dictaminadora consideramos el sector telecomunicaciones factor fundamental y estratégico para desarrollo de económico y social del país.</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Cabe señalar que en 2009 el sector obtuvo ingresos superiores a 359 mil millones de pesos. La densidad de usuarios de telefonía móvil en 2010 fue de 80.2 por cada 100 habitantes y los usuarios de Internet en el mismo año superaron 30 millones.</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3. Que el artículo 28 de la Constitución Política de los Estados Unidos Mexicanos establece:</w:t>
      </w:r>
    </w:p>
    <w:p w:rsidR="00CC30DE" w:rsidRPr="007838E3" w:rsidRDefault="00CC30DE" w:rsidP="00CC30DE">
      <w:pPr>
        <w:pStyle w:val="sangria"/>
        <w:rPr>
          <w:rFonts w:ascii="Arial" w:hAnsi="Arial" w:cs="Arial"/>
          <w:sz w:val="22"/>
          <w:szCs w:val="22"/>
        </w:rPr>
      </w:pPr>
      <w:r w:rsidRPr="007838E3">
        <w:rPr>
          <w:rStyle w:val="negritas"/>
          <w:rFonts w:ascii="Arial" w:hAnsi="Arial" w:cs="Arial"/>
          <w:sz w:val="22"/>
          <w:szCs w:val="22"/>
        </w:rPr>
        <w:t>Artículo 28. En los Estados Unidos Mexicanos quedan prohibidos los monopolios, las prácticas monopólicas,</w:t>
      </w:r>
      <w:r w:rsidRPr="007838E3">
        <w:rPr>
          <w:rFonts w:ascii="Arial" w:hAnsi="Arial" w:cs="Arial"/>
          <w:sz w:val="22"/>
          <w:szCs w:val="22"/>
        </w:rPr>
        <w:t xml:space="preserve"> los estancos y las exenciones de impuestos en los términos y condiciones que fijan las leyes. El mismo tratamiento se dará a las prohibiciones a título de protección a la industria.</w:t>
      </w:r>
    </w:p>
    <w:p w:rsidR="00CC30DE" w:rsidRPr="007838E3" w:rsidRDefault="00CC30DE" w:rsidP="00CC30DE">
      <w:pPr>
        <w:pStyle w:val="sangria"/>
        <w:rPr>
          <w:rFonts w:ascii="Arial" w:hAnsi="Arial" w:cs="Arial"/>
          <w:sz w:val="22"/>
          <w:szCs w:val="22"/>
        </w:rPr>
      </w:pPr>
      <w:r w:rsidRPr="007838E3">
        <w:rPr>
          <w:rFonts w:ascii="Arial" w:hAnsi="Arial" w:cs="Arial"/>
          <w:sz w:val="22"/>
          <w:szCs w:val="22"/>
        </w:rPr>
        <w:t>...</w:t>
      </w:r>
    </w:p>
    <w:p w:rsidR="00CC30DE" w:rsidRPr="007838E3" w:rsidRDefault="00CC30DE" w:rsidP="00CC30DE">
      <w:pPr>
        <w:pStyle w:val="sangria"/>
        <w:rPr>
          <w:rFonts w:ascii="Arial" w:hAnsi="Arial" w:cs="Arial"/>
          <w:sz w:val="22"/>
          <w:szCs w:val="22"/>
        </w:rPr>
      </w:pPr>
      <w:r w:rsidRPr="007838E3">
        <w:rPr>
          <w:rFonts w:ascii="Arial" w:hAnsi="Arial" w:cs="Arial"/>
          <w:sz w:val="22"/>
          <w:szCs w:val="22"/>
        </w:rPr>
        <w:t>...</w:t>
      </w:r>
    </w:p>
    <w:p w:rsidR="00CC30DE" w:rsidRPr="007838E3" w:rsidRDefault="00CC30DE" w:rsidP="00CC30DE">
      <w:pPr>
        <w:pStyle w:val="sangria"/>
        <w:rPr>
          <w:rFonts w:ascii="Arial" w:hAnsi="Arial" w:cs="Arial"/>
          <w:sz w:val="22"/>
          <w:szCs w:val="22"/>
        </w:rPr>
      </w:pPr>
      <w:r w:rsidRPr="007838E3">
        <w:rPr>
          <w:rFonts w:ascii="Arial" w:hAnsi="Arial" w:cs="Arial"/>
          <w:sz w:val="22"/>
          <w:szCs w:val="22"/>
        </w:rPr>
        <w:lastRenderedPageBreak/>
        <w:t xml:space="preserve">No constituirán monopolios las funciones que el Estado ejerza de manera exclusiva en las siguientes </w:t>
      </w:r>
      <w:r w:rsidRPr="007838E3">
        <w:rPr>
          <w:rStyle w:val="negritas"/>
          <w:rFonts w:ascii="Arial" w:hAnsi="Arial" w:cs="Arial"/>
          <w:sz w:val="22"/>
          <w:szCs w:val="22"/>
        </w:rPr>
        <w:t>áreas estratégicas: correos, telégrafos y radiotelegrafía;</w:t>
      </w:r>
      <w:r w:rsidRPr="007838E3">
        <w:rPr>
          <w:rFonts w:ascii="Arial" w:hAnsi="Arial" w:cs="Arial"/>
          <w:sz w:val="22"/>
          <w:szCs w:val="22"/>
        </w:rPr>
        <w:t xml:space="preserve"> petróleo y los demás hidrocarburos; petroquímica básica; minerales radiactivos y generación de energía nuclear; electricidad y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CC30DE" w:rsidRPr="007838E3" w:rsidRDefault="00CC30DE" w:rsidP="00CC30DE">
      <w:pPr>
        <w:pStyle w:val="sangria"/>
        <w:rPr>
          <w:rFonts w:ascii="Arial" w:hAnsi="Arial" w:cs="Arial"/>
          <w:sz w:val="22"/>
          <w:szCs w:val="22"/>
        </w:rPr>
      </w:pPr>
      <w:r w:rsidRPr="007838E3">
        <w:rPr>
          <w:rFonts w:ascii="Arial" w:hAnsi="Arial" w:cs="Arial"/>
          <w:sz w:val="22"/>
          <w:szCs w:val="22"/>
        </w:rPr>
        <w:t>...</w:t>
      </w:r>
    </w:p>
    <w:p w:rsidR="00CC30DE" w:rsidRPr="007838E3" w:rsidRDefault="00CC30DE" w:rsidP="00CC30DE">
      <w:pPr>
        <w:pStyle w:val="sangria"/>
        <w:rPr>
          <w:rFonts w:ascii="Arial" w:hAnsi="Arial" w:cs="Arial"/>
          <w:sz w:val="22"/>
          <w:szCs w:val="22"/>
        </w:rPr>
      </w:pPr>
      <w:r w:rsidRPr="007838E3">
        <w:rPr>
          <w:rFonts w:ascii="Arial" w:hAnsi="Arial" w:cs="Arial"/>
          <w:sz w:val="22"/>
          <w:szCs w:val="22"/>
        </w:rPr>
        <w:t>Que la Ley Federal de Telecomunicaciones, en el artículo 7, dispone como objetivo principal el desarrollo eficiente del sector telecomunicaciones en el país, así como fomentar una sana competencia en el mercado de prestadores de servicios de telecomunicaciones:</w:t>
      </w:r>
    </w:p>
    <w:p w:rsidR="00CC30DE" w:rsidRPr="007838E3" w:rsidRDefault="00CC30DE" w:rsidP="00CC30DE">
      <w:pPr>
        <w:pStyle w:val="sangria"/>
        <w:rPr>
          <w:rFonts w:ascii="Arial" w:hAnsi="Arial" w:cs="Arial"/>
          <w:sz w:val="22"/>
          <w:szCs w:val="22"/>
        </w:rPr>
      </w:pPr>
      <w:r w:rsidRPr="007838E3">
        <w:rPr>
          <w:rStyle w:val="negritas"/>
          <w:rFonts w:ascii="Arial" w:hAnsi="Arial" w:cs="Arial"/>
          <w:sz w:val="22"/>
          <w:szCs w:val="22"/>
        </w:rPr>
        <w:t>Artículo 7.</w:t>
      </w:r>
      <w:r w:rsidRPr="007838E3">
        <w:rPr>
          <w:rFonts w:ascii="Arial" w:hAnsi="Arial" w:cs="Arial"/>
          <w:sz w:val="22"/>
          <w:szCs w:val="22"/>
        </w:rPr>
        <w:t xml:space="preserve"> La presente ley tiene como objetivos promover un </w:t>
      </w:r>
      <w:r w:rsidRPr="007838E3">
        <w:rPr>
          <w:rStyle w:val="negritas"/>
          <w:rFonts w:ascii="Arial" w:hAnsi="Arial" w:cs="Arial"/>
          <w:sz w:val="22"/>
          <w:szCs w:val="22"/>
        </w:rPr>
        <w:t>desarrollo eficiente de las telecomunicaciones;</w:t>
      </w:r>
      <w:r w:rsidRPr="007838E3">
        <w:rPr>
          <w:rFonts w:ascii="Arial" w:hAnsi="Arial" w:cs="Arial"/>
          <w:sz w:val="22"/>
          <w:szCs w:val="22"/>
        </w:rPr>
        <w:t xml:space="preserve"> ejercer la rectoría del Estado en la materia para garantizar la soberanía nacional; </w:t>
      </w:r>
      <w:r w:rsidRPr="007838E3">
        <w:rPr>
          <w:rStyle w:val="negritas"/>
          <w:rFonts w:ascii="Arial" w:hAnsi="Arial" w:cs="Arial"/>
          <w:sz w:val="22"/>
          <w:szCs w:val="22"/>
        </w:rPr>
        <w:t>fomentar una sana competencia entre los diferentes prestadores de servicios de telecomunicaciones</w:t>
      </w:r>
      <w:r w:rsidRPr="007838E3">
        <w:rPr>
          <w:rFonts w:ascii="Arial" w:hAnsi="Arial" w:cs="Arial"/>
          <w:sz w:val="22"/>
          <w:szCs w:val="22"/>
        </w:rPr>
        <w:t xml:space="preserve"> a fin de que éstos se presten con mejores precios, diversidad y calidad en beneficio de los usuarios, y promover una adecuada cobertura social.</w:t>
      </w:r>
    </w:p>
    <w:p w:rsidR="00CC30DE" w:rsidRPr="007838E3" w:rsidRDefault="00CC30DE" w:rsidP="00CC30DE">
      <w:pPr>
        <w:pStyle w:val="sangria"/>
        <w:rPr>
          <w:rFonts w:ascii="Arial" w:hAnsi="Arial" w:cs="Arial"/>
          <w:sz w:val="22"/>
          <w:szCs w:val="22"/>
        </w:rPr>
      </w:pPr>
      <w:r w:rsidRPr="007838E3">
        <w:rPr>
          <w:rFonts w:ascii="Arial" w:hAnsi="Arial" w:cs="Arial"/>
          <w:sz w:val="22"/>
          <w:szCs w:val="22"/>
        </w:rPr>
        <w:t>...</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4. En ese orden de ideas, es necesario que el sector de telecomunicaciones se desarrolle con pleno arreglo a los ordenamientos vigentes porque es un detonador de bienestar económico y social para el país.</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En mérito de lo expuesto, la Comisión de Comunicaciones de la LXI Legislatura de la Cámara de Diputados somete a consideración de esta soberanía el siguiente</w:t>
      </w:r>
    </w:p>
    <w:p w:rsidR="00CC30DE" w:rsidRPr="007838E3" w:rsidRDefault="00CC30DE" w:rsidP="00CC30DE">
      <w:pPr>
        <w:pStyle w:val="centrar"/>
        <w:rPr>
          <w:rFonts w:ascii="Arial" w:hAnsi="Arial" w:cs="Arial"/>
          <w:sz w:val="22"/>
          <w:szCs w:val="22"/>
        </w:rPr>
      </w:pPr>
      <w:r w:rsidRPr="007838E3">
        <w:rPr>
          <w:rFonts w:ascii="Arial" w:hAnsi="Arial" w:cs="Arial"/>
          <w:sz w:val="22"/>
          <w:szCs w:val="22"/>
        </w:rPr>
        <w:t>Acuerdo</w:t>
      </w:r>
    </w:p>
    <w:p w:rsidR="00CC30DE" w:rsidRPr="007838E3" w:rsidRDefault="00CC30DE" w:rsidP="00CC30DE">
      <w:pPr>
        <w:pStyle w:val="NormalWeb"/>
        <w:rPr>
          <w:rFonts w:ascii="Arial" w:hAnsi="Arial" w:cs="Arial"/>
          <w:sz w:val="22"/>
          <w:szCs w:val="22"/>
        </w:rPr>
      </w:pPr>
      <w:r w:rsidRPr="007838E3">
        <w:rPr>
          <w:rFonts w:ascii="Arial" w:hAnsi="Arial" w:cs="Arial"/>
          <w:sz w:val="22"/>
          <w:szCs w:val="22"/>
        </w:rPr>
        <w:t xml:space="preserve">Único. La Cámara de Diputados del Congreso de la Unión solicita al secretario de Comunicaciones y Transportes, maestro Dionisio Pérez-Jácome </w:t>
      </w:r>
      <w:proofErr w:type="spellStart"/>
      <w:r w:rsidRPr="007838E3">
        <w:rPr>
          <w:rFonts w:ascii="Arial" w:hAnsi="Arial" w:cs="Arial"/>
          <w:sz w:val="22"/>
          <w:szCs w:val="22"/>
        </w:rPr>
        <w:t>Friscione</w:t>
      </w:r>
      <w:proofErr w:type="spellEnd"/>
      <w:r w:rsidRPr="007838E3">
        <w:rPr>
          <w:rFonts w:ascii="Arial" w:hAnsi="Arial" w:cs="Arial"/>
          <w:sz w:val="22"/>
          <w:szCs w:val="22"/>
        </w:rPr>
        <w:t xml:space="preserve">; al presidente de la Comisión Federal de Telecomunicaciones, maestro </w:t>
      </w:r>
      <w:proofErr w:type="spellStart"/>
      <w:r w:rsidRPr="007838E3">
        <w:rPr>
          <w:rFonts w:ascii="Arial" w:hAnsi="Arial" w:cs="Arial"/>
          <w:sz w:val="22"/>
          <w:szCs w:val="22"/>
        </w:rPr>
        <w:t>Mony</w:t>
      </w:r>
      <w:proofErr w:type="spellEnd"/>
      <w:r w:rsidRPr="007838E3">
        <w:rPr>
          <w:rFonts w:ascii="Arial" w:hAnsi="Arial" w:cs="Arial"/>
          <w:sz w:val="22"/>
          <w:szCs w:val="22"/>
        </w:rPr>
        <w:t xml:space="preserve"> de </w:t>
      </w:r>
      <w:proofErr w:type="spellStart"/>
      <w:r w:rsidRPr="007838E3">
        <w:rPr>
          <w:rFonts w:ascii="Arial" w:hAnsi="Arial" w:cs="Arial"/>
          <w:sz w:val="22"/>
          <w:szCs w:val="22"/>
        </w:rPr>
        <w:t>Swaan</w:t>
      </w:r>
      <w:proofErr w:type="spellEnd"/>
      <w:r w:rsidRPr="007838E3">
        <w:rPr>
          <w:rFonts w:ascii="Arial" w:hAnsi="Arial" w:cs="Arial"/>
          <w:sz w:val="22"/>
          <w:szCs w:val="22"/>
        </w:rPr>
        <w:t xml:space="preserve"> </w:t>
      </w:r>
      <w:proofErr w:type="spellStart"/>
      <w:r w:rsidRPr="007838E3">
        <w:rPr>
          <w:rFonts w:ascii="Arial" w:hAnsi="Arial" w:cs="Arial"/>
          <w:sz w:val="22"/>
          <w:szCs w:val="22"/>
        </w:rPr>
        <w:t>Aldati</w:t>
      </w:r>
      <w:proofErr w:type="spellEnd"/>
      <w:r w:rsidRPr="007838E3">
        <w:rPr>
          <w:rFonts w:ascii="Arial" w:hAnsi="Arial" w:cs="Arial"/>
          <w:sz w:val="22"/>
          <w:szCs w:val="22"/>
        </w:rPr>
        <w:t>; y al presidente de la Comisión Federal de Competencia, doctor Eduardo Pérez Motta, que en el marco de sus atribuciones intervengan de inmediato en el conflicto suscitado entre las empresas del sector de telecomunicaciones a que hace referencia el presente acuerdo.</w:t>
      </w:r>
    </w:p>
    <w:p w:rsidR="00CC30DE" w:rsidRPr="007838E3" w:rsidRDefault="00CC30DE" w:rsidP="00CC30DE">
      <w:pPr>
        <w:pStyle w:val="derecha"/>
        <w:rPr>
          <w:rFonts w:ascii="Arial" w:hAnsi="Arial" w:cs="Arial"/>
          <w:sz w:val="22"/>
          <w:szCs w:val="22"/>
        </w:rPr>
      </w:pPr>
      <w:r w:rsidRPr="007838E3">
        <w:rPr>
          <w:rFonts w:ascii="Arial" w:hAnsi="Arial" w:cs="Arial"/>
          <w:sz w:val="22"/>
          <w:szCs w:val="22"/>
        </w:rPr>
        <w:t>Palacio Legislativo de San Lázaro, a 28 de abril de 2011.</w:t>
      </w:r>
    </w:p>
    <w:p w:rsidR="00CC30DE" w:rsidRPr="007838E3" w:rsidRDefault="00CC30DE" w:rsidP="00CC30DE">
      <w:pPr>
        <w:pStyle w:val="firmas"/>
        <w:rPr>
          <w:rFonts w:ascii="Arial" w:hAnsi="Arial" w:cs="Arial"/>
        </w:rPr>
      </w:pPr>
      <w:r w:rsidRPr="007838E3">
        <w:rPr>
          <w:rStyle w:val="negritas"/>
          <w:rFonts w:ascii="Arial" w:hAnsi="Arial" w:cs="Arial"/>
        </w:rPr>
        <w:t>La Comisión de Comunicaciones</w:t>
      </w:r>
      <w:r w:rsidRPr="007838E3">
        <w:rPr>
          <w:rFonts w:ascii="Arial" w:hAnsi="Arial" w:cs="Arial"/>
        </w:rPr>
        <w:t xml:space="preserve"> </w:t>
      </w:r>
    </w:p>
    <w:p w:rsidR="00CC30DE" w:rsidRPr="007838E3" w:rsidRDefault="00CC30DE" w:rsidP="00CC30DE">
      <w:pPr>
        <w:pStyle w:val="firmas"/>
        <w:rPr>
          <w:rFonts w:ascii="Arial" w:hAnsi="Arial" w:cs="Arial"/>
        </w:rPr>
      </w:pPr>
      <w:r w:rsidRPr="007838E3">
        <w:rPr>
          <w:rStyle w:val="negritas"/>
          <w:rFonts w:ascii="Arial" w:hAnsi="Arial" w:cs="Arial"/>
        </w:rPr>
        <w:t>Diputados:</w:t>
      </w:r>
      <w:r w:rsidRPr="007838E3">
        <w:rPr>
          <w:rFonts w:ascii="Arial" w:hAnsi="Arial" w:cs="Arial"/>
        </w:rPr>
        <w:t xml:space="preserve"> José Adán Ignacio Rubí Salazar (rúbrica), presidente; </w:t>
      </w:r>
      <w:proofErr w:type="spellStart"/>
      <w:r w:rsidRPr="007838E3">
        <w:rPr>
          <w:rFonts w:ascii="Arial" w:hAnsi="Arial" w:cs="Arial"/>
        </w:rPr>
        <w:t>Éric</w:t>
      </w:r>
      <w:proofErr w:type="spellEnd"/>
      <w:r w:rsidRPr="007838E3">
        <w:rPr>
          <w:rFonts w:ascii="Arial" w:hAnsi="Arial" w:cs="Arial"/>
        </w:rPr>
        <w:t xml:space="preserve"> Luis Rubio </w:t>
      </w:r>
      <w:proofErr w:type="spellStart"/>
      <w:r w:rsidRPr="007838E3">
        <w:rPr>
          <w:rFonts w:ascii="Arial" w:hAnsi="Arial" w:cs="Arial"/>
        </w:rPr>
        <w:t>Barthell</w:t>
      </w:r>
      <w:proofErr w:type="spellEnd"/>
      <w:r w:rsidRPr="007838E3">
        <w:rPr>
          <w:rFonts w:ascii="Arial" w:hAnsi="Arial" w:cs="Arial"/>
        </w:rPr>
        <w:t xml:space="preserve"> (rúbrica), Baltazar Martínez Montemayor (rúbrica), Arturo García Portillo (rúbrica), Gerardo Leyva Hernández (rúbrica), Juan Gerardo Flores Ramírez (rúbrica), Fernando </w:t>
      </w:r>
      <w:proofErr w:type="spellStart"/>
      <w:r w:rsidRPr="007838E3">
        <w:rPr>
          <w:rFonts w:ascii="Arial" w:hAnsi="Arial" w:cs="Arial"/>
        </w:rPr>
        <w:t>Ferreyra</w:t>
      </w:r>
      <w:proofErr w:type="spellEnd"/>
      <w:r w:rsidRPr="007838E3">
        <w:rPr>
          <w:rFonts w:ascii="Arial" w:hAnsi="Arial" w:cs="Arial"/>
        </w:rPr>
        <w:t xml:space="preserve"> Olivares (rúbrica), José M. Torres Robledo (rúbrica), María del Pilar Torre Canales (rúbrica), Adriana Fuentes Cortés (rúbrica), secretarios; Hugo Héctor Martínez González, Rogelio Cerda Pérez, Carlos Cruz Mendoza </w:t>
      </w:r>
      <w:r w:rsidRPr="007838E3">
        <w:rPr>
          <w:rFonts w:ascii="Arial" w:hAnsi="Arial" w:cs="Arial"/>
        </w:rPr>
        <w:lastRenderedPageBreak/>
        <w:t xml:space="preserve">(rúbrica), Ricardo </w:t>
      </w:r>
      <w:proofErr w:type="spellStart"/>
      <w:r w:rsidRPr="007838E3">
        <w:rPr>
          <w:rFonts w:ascii="Arial" w:hAnsi="Arial" w:cs="Arial"/>
        </w:rPr>
        <w:t>Ahued</w:t>
      </w:r>
      <w:proofErr w:type="spellEnd"/>
      <w:r w:rsidRPr="007838E3">
        <w:rPr>
          <w:rFonts w:ascii="Arial" w:hAnsi="Arial" w:cs="Arial"/>
        </w:rPr>
        <w:t xml:space="preserve"> </w:t>
      </w:r>
      <w:proofErr w:type="spellStart"/>
      <w:r w:rsidRPr="007838E3">
        <w:rPr>
          <w:rFonts w:ascii="Arial" w:hAnsi="Arial" w:cs="Arial"/>
        </w:rPr>
        <w:t>Bardahuil</w:t>
      </w:r>
      <w:proofErr w:type="spellEnd"/>
      <w:r w:rsidRPr="007838E3">
        <w:rPr>
          <w:rFonts w:ascii="Arial" w:hAnsi="Arial" w:cs="Arial"/>
        </w:rPr>
        <w:t xml:space="preserve"> (rúbrica), Sofía Castro Ríos (rúbrica), Manuel Humberto Cota Jiménez (rúbrica), Janet Graciela González Tostado, Reginaldo Rivera de la Torre (rúbrica), Ana Estela Durán Rico (rúbrica), Maurilio Ochoa Millán, Genaro Mejía de la Merced, Javier Corral Jurado, Leonardo Arturo Guillén Medina (rúbrica), Sergio Arturo Torres Santos (rúbrica), </w:t>
      </w:r>
      <w:proofErr w:type="spellStart"/>
      <w:r w:rsidRPr="007838E3">
        <w:rPr>
          <w:rFonts w:ascii="Arial" w:hAnsi="Arial" w:cs="Arial"/>
        </w:rPr>
        <w:t>Aranzazu</w:t>
      </w:r>
      <w:proofErr w:type="spellEnd"/>
      <w:r w:rsidRPr="007838E3">
        <w:rPr>
          <w:rFonts w:ascii="Arial" w:hAnsi="Arial" w:cs="Arial"/>
        </w:rPr>
        <w:t xml:space="preserve"> Quintanilla Padilla (rúbrica), Martha Angélica Bernardino Rojas, Francisco Hernández Juárez (rúbrica), Adriana </w:t>
      </w:r>
      <w:proofErr w:type="spellStart"/>
      <w:r w:rsidRPr="007838E3">
        <w:rPr>
          <w:rFonts w:ascii="Arial" w:hAnsi="Arial" w:cs="Arial"/>
        </w:rPr>
        <w:t>Sarur</w:t>
      </w:r>
      <w:proofErr w:type="spellEnd"/>
      <w:r w:rsidRPr="007838E3">
        <w:rPr>
          <w:rFonts w:ascii="Arial" w:hAnsi="Arial" w:cs="Arial"/>
        </w:rPr>
        <w:t xml:space="preserve"> Torre, Martín García Avilés.</w:t>
      </w:r>
    </w:p>
    <w:bookmarkEnd w:id="0"/>
    <w:p w:rsidR="008068BD" w:rsidRPr="007838E3" w:rsidRDefault="007838E3">
      <w:pPr>
        <w:rPr>
          <w:rFonts w:ascii="Arial" w:hAnsi="Arial" w:cs="Arial"/>
        </w:rPr>
      </w:pPr>
    </w:p>
    <w:sectPr w:rsidR="008068BD" w:rsidRPr="007838E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DE"/>
    <w:rsid w:val="007838E3"/>
    <w:rsid w:val="00B4687E"/>
    <w:rsid w:val="00CC30D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30D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C30D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C30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C30D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CC30D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C30D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C30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30DE"/>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CC30DE"/>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CC30D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CC30DE"/>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CC30DE"/>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CC30DE"/>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CC3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538414">
      <w:bodyDiv w:val="1"/>
      <w:marLeft w:val="150"/>
      <w:marRight w:val="150"/>
      <w:marTop w:val="0"/>
      <w:marBottom w:val="0"/>
      <w:divBdr>
        <w:top w:val="none" w:sz="0" w:space="0" w:color="auto"/>
        <w:left w:val="none" w:sz="0" w:space="0" w:color="auto"/>
        <w:bottom w:val="none" w:sz="0" w:space="0" w:color="auto"/>
        <w:right w:val="none" w:sz="0" w:space="0" w:color="auto"/>
      </w:divBdr>
      <w:divsChild>
        <w:div w:id="1208420841">
          <w:marLeft w:val="0"/>
          <w:marRight w:val="0"/>
          <w:marTop w:val="0"/>
          <w:marBottom w:val="0"/>
          <w:divBdr>
            <w:top w:val="none" w:sz="0" w:space="0" w:color="auto"/>
            <w:left w:val="none" w:sz="0" w:space="0" w:color="auto"/>
            <w:bottom w:val="none" w:sz="0" w:space="0" w:color="auto"/>
            <w:right w:val="none" w:sz="0" w:space="0" w:color="auto"/>
          </w:divBdr>
          <w:divsChild>
            <w:div w:id="824857844">
              <w:marLeft w:val="0"/>
              <w:marRight w:val="0"/>
              <w:marTop w:val="0"/>
              <w:marBottom w:val="0"/>
              <w:divBdr>
                <w:top w:val="none" w:sz="0" w:space="0" w:color="auto"/>
                <w:left w:val="none" w:sz="0" w:space="0" w:color="auto"/>
                <w:bottom w:val="none" w:sz="0" w:space="0" w:color="auto"/>
                <w:right w:val="none" w:sz="0" w:space="0" w:color="auto"/>
              </w:divBdr>
              <w:divsChild>
                <w:div w:id="37050462">
                  <w:marLeft w:val="0"/>
                  <w:marRight w:val="0"/>
                  <w:marTop w:val="1500"/>
                  <w:marBottom w:val="0"/>
                  <w:divBdr>
                    <w:top w:val="none" w:sz="0" w:space="0" w:color="auto"/>
                    <w:left w:val="none" w:sz="0" w:space="0" w:color="auto"/>
                    <w:bottom w:val="none" w:sz="0" w:space="0" w:color="auto"/>
                    <w:right w:val="none" w:sz="0" w:space="0" w:color="auto"/>
                  </w:divBdr>
                  <w:divsChild>
                    <w:div w:id="2138908525">
                      <w:marLeft w:val="0"/>
                      <w:marRight w:val="0"/>
                      <w:marTop w:val="1500"/>
                      <w:marBottom w:val="0"/>
                      <w:divBdr>
                        <w:top w:val="none" w:sz="0" w:space="0" w:color="auto"/>
                        <w:left w:val="none" w:sz="0" w:space="0" w:color="auto"/>
                        <w:bottom w:val="none" w:sz="0" w:space="0" w:color="auto"/>
                        <w:right w:val="none" w:sz="0" w:space="0" w:color="auto"/>
                      </w:divBdr>
                      <w:divsChild>
                        <w:div w:id="735666923">
                          <w:marLeft w:val="0"/>
                          <w:marRight w:val="0"/>
                          <w:marTop w:val="1500"/>
                          <w:marBottom w:val="0"/>
                          <w:divBdr>
                            <w:top w:val="none" w:sz="0" w:space="0" w:color="auto"/>
                            <w:left w:val="none" w:sz="0" w:space="0" w:color="auto"/>
                            <w:bottom w:val="none" w:sz="0" w:space="0" w:color="auto"/>
                            <w:right w:val="none" w:sz="0" w:space="0" w:color="auto"/>
                          </w:divBdr>
                          <w:divsChild>
                            <w:div w:id="308480145">
                              <w:marLeft w:val="0"/>
                              <w:marRight w:val="0"/>
                              <w:marTop w:val="1500"/>
                              <w:marBottom w:val="0"/>
                              <w:divBdr>
                                <w:top w:val="none" w:sz="0" w:space="0" w:color="auto"/>
                                <w:left w:val="none" w:sz="0" w:space="0" w:color="auto"/>
                                <w:bottom w:val="none" w:sz="0" w:space="0" w:color="auto"/>
                                <w:right w:val="none" w:sz="0" w:space="0" w:color="auto"/>
                              </w:divBdr>
                              <w:divsChild>
                                <w:div w:id="942104450">
                                  <w:marLeft w:val="0"/>
                                  <w:marRight w:val="0"/>
                                  <w:marTop w:val="1500"/>
                                  <w:marBottom w:val="0"/>
                                  <w:divBdr>
                                    <w:top w:val="none" w:sz="0" w:space="0" w:color="auto"/>
                                    <w:left w:val="none" w:sz="0" w:space="0" w:color="auto"/>
                                    <w:bottom w:val="none" w:sz="0" w:space="0" w:color="auto"/>
                                    <w:right w:val="none" w:sz="0" w:space="0" w:color="auto"/>
                                  </w:divBdr>
                                  <w:divsChild>
                                    <w:div w:id="189488139">
                                      <w:marLeft w:val="0"/>
                                      <w:marRight w:val="0"/>
                                      <w:marTop w:val="1500"/>
                                      <w:marBottom w:val="0"/>
                                      <w:divBdr>
                                        <w:top w:val="none" w:sz="0" w:space="0" w:color="auto"/>
                                        <w:left w:val="none" w:sz="0" w:space="0" w:color="auto"/>
                                        <w:bottom w:val="none" w:sz="0" w:space="0" w:color="auto"/>
                                        <w:right w:val="none" w:sz="0" w:space="0" w:color="auto"/>
                                      </w:divBdr>
                                      <w:divsChild>
                                        <w:div w:id="182979258">
                                          <w:marLeft w:val="0"/>
                                          <w:marRight w:val="0"/>
                                          <w:marTop w:val="1500"/>
                                          <w:marBottom w:val="0"/>
                                          <w:divBdr>
                                            <w:top w:val="none" w:sz="0" w:space="0" w:color="auto"/>
                                            <w:left w:val="none" w:sz="0" w:space="0" w:color="auto"/>
                                            <w:bottom w:val="none" w:sz="0" w:space="0" w:color="auto"/>
                                            <w:right w:val="none" w:sz="0" w:space="0" w:color="auto"/>
                                          </w:divBdr>
                                          <w:divsChild>
                                            <w:div w:id="1725640504">
                                              <w:marLeft w:val="0"/>
                                              <w:marRight w:val="0"/>
                                              <w:marTop w:val="1500"/>
                                              <w:marBottom w:val="0"/>
                                              <w:divBdr>
                                                <w:top w:val="none" w:sz="0" w:space="0" w:color="auto"/>
                                                <w:left w:val="none" w:sz="0" w:space="0" w:color="auto"/>
                                                <w:bottom w:val="none" w:sz="0" w:space="0" w:color="auto"/>
                                                <w:right w:val="none" w:sz="0" w:space="0" w:color="auto"/>
                                              </w:divBdr>
                                              <w:divsChild>
                                                <w:div w:id="307592270">
                                                  <w:marLeft w:val="0"/>
                                                  <w:marRight w:val="0"/>
                                                  <w:marTop w:val="1500"/>
                                                  <w:marBottom w:val="0"/>
                                                  <w:divBdr>
                                                    <w:top w:val="none" w:sz="0" w:space="0" w:color="auto"/>
                                                    <w:left w:val="none" w:sz="0" w:space="0" w:color="auto"/>
                                                    <w:bottom w:val="none" w:sz="0" w:space="0" w:color="auto"/>
                                                    <w:right w:val="none" w:sz="0" w:space="0" w:color="auto"/>
                                                  </w:divBdr>
                                                  <w:divsChild>
                                                    <w:div w:id="66657970">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1838</Words>
  <Characters>10111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2011-10-19T18:17:00Z</dcterms:created>
  <dcterms:modified xsi:type="dcterms:W3CDTF">2011-10-19T18:52:00Z</dcterms:modified>
</cp:coreProperties>
</file>