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B9" w:rsidRPr="00C73EEE" w:rsidRDefault="000352B9" w:rsidP="000352B9">
      <w:pPr>
        <w:pStyle w:val="versales"/>
        <w:rPr>
          <w:rFonts w:ascii="Arial" w:hAnsi="Arial" w:cs="Arial"/>
          <w:color w:val="auto"/>
        </w:rPr>
      </w:pPr>
      <w:bookmarkStart w:id="0" w:name="Iniciativa1"/>
      <w:bookmarkStart w:id="1" w:name="_GoBack"/>
      <w:r w:rsidRPr="00C73EEE">
        <w:rPr>
          <w:rFonts w:ascii="Arial" w:hAnsi="Arial" w:cs="Arial"/>
          <w:color w:val="auto"/>
        </w:rPr>
        <w:t xml:space="preserve">Que adiciona el artículo 241 Bis a la Ley de Concursos Mercantiles, suscrita por la diputada Yolanda de la Torre Valdez, del Grupo Parlamentario del PRI </w:t>
      </w:r>
    </w:p>
    <w:bookmarkEnd w:id="1"/>
    <w:p w:rsidR="000352B9" w:rsidRPr="00C73EEE" w:rsidRDefault="000352B9" w:rsidP="000352B9">
      <w:pPr>
        <w:pStyle w:val="NormalWeb"/>
        <w:rPr>
          <w:rFonts w:ascii="Arial" w:hAnsi="Arial" w:cs="Arial"/>
          <w:sz w:val="22"/>
          <w:szCs w:val="22"/>
        </w:rPr>
      </w:pPr>
      <w:r w:rsidRPr="00C73EEE">
        <w:rPr>
          <w:rFonts w:ascii="Arial" w:hAnsi="Arial" w:cs="Arial"/>
          <w:sz w:val="22"/>
          <w:szCs w:val="22"/>
        </w:rPr>
        <w:t>La suscrita, Yolanda de la Torre Valdez, integrante del Grupo Parlamentario del Partido Revolucionario Institucional, en ejercicio de la facultad que confieren los artículos 71, fracción II, de la Constitución Política de los Estados Unidos Mexicanos, y 77 y 78 del Reglamento de la Cámara de Diputados, presenta ante el pleno de esta soberanía propuesta de iniciativa con proyecto de decreto mediante el que se adiciona el artículo 241 Bis a la Ley de Concursos Mercantiles, con base en la siguiente</w:t>
      </w:r>
    </w:p>
    <w:p w:rsidR="000352B9" w:rsidRPr="00C73EEE" w:rsidRDefault="000352B9" w:rsidP="000352B9">
      <w:pPr>
        <w:pStyle w:val="centrar"/>
        <w:rPr>
          <w:rFonts w:ascii="Arial" w:hAnsi="Arial" w:cs="Arial"/>
          <w:sz w:val="22"/>
          <w:szCs w:val="22"/>
        </w:rPr>
      </w:pPr>
      <w:r w:rsidRPr="00C73EEE">
        <w:rPr>
          <w:rFonts w:ascii="Arial" w:hAnsi="Arial" w:cs="Arial"/>
          <w:sz w:val="22"/>
          <w:szCs w:val="22"/>
        </w:rPr>
        <w:t>Exposición de Motivos</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I. Antecedentes</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La Constitución Política de los Estados Unidos Mexicanos, en el artículo 28, párrafo décimo, determina: “El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evitaran fenómenos de concentración que contraríen el interés público”.</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Derivado de la disposición constitucional señalada, la prestación de un servicio público constituye una actividad que tiene por objeto la satisfacción de una necesidad de interés general.</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A través del otorgamiento de concesiones, el Estado entrega a los particulares para su explotación, uso y aprovechamiento, bienes y servicios que son del dominio público.</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Una vez entregada la concesión a un particular, se generan derechos y obligaciones para el concesionario, entre los que se encuentra la prestación oportuna y eficiente del servicio público concesionado, en los términos y con las condiciones que determinan las disposiciones legales aplicables.</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Es pertinente que el concesionario, además de la capacidad técnica y material para la prestación del servicio, cuente con la capacidad financiera que le permita el desarrollo óptimo de la actividad.</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En caso de que una empresa que preste un servicio público concesionado presente una crisis de liquidez financiera y requiera negociaciones con sus acreedores deberá sujetarse a la normatividad concursal.</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II. Consideraciones</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Con fecha 12 de mayo de 2000 se publicó en el Diario Oficial de la Federación la Ley de Concursos Mercantiles, la cual tiene por objeto regular el concurso mercantil. Señala en el artículo 1o.: “Es de interés público conservar las empresas y evitar que el incumplimiento generalizado de las obligaciones de pago ponga en riesgo la viabilidad de las mismas y de las demás con las que mantenga una relación de negocios”.</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lastRenderedPageBreak/>
        <w:t>Si bien la Ley de Concursos Mercantiles ha establecido un procedimiento moderno y eficaz para evitar el incumplimiento generalizado de las obligaciones de pago que ponga en riesgo la viabilidad de éstas o, en su caso, llevar a cabo su liquidación ordenada, se requiere su perfeccionamiento para subsanar algunas circunstancias que en su momento no pudieron ser previstas por el legislador.</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En este sentido, se considera oportuno continuar la revisión de este ordenamiento legal a fin de perfeccionar el procedimiento concursal, específicamente por lo relacionado con lo determinado en el título octavo sobre los concursos especiales y, de manera puntual, por lo que concierne a los concursos mercantiles de comerciantes que prestan servicios públicos concesionados, normado en el capítulo I del título mencionado.</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III. Conclusiones</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El proyecto que se somete a consideración de esta soberanía toma en consideración que si bien es cierto que en el artículo 241 de la ley se define que una vez declarado el concurso mercantil, la autoridad concedente propone al juez la separación de la persona que se desempeñe en la administración de la empresa del comerciante y nombra a otra persona para que asuma las actividades administrativas, es necesario establecer acciones concretas para garantizar la continuidad y la seguridad en la prestación del servicio público concesionado.</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La presente iniciativa prevé que para garantizar que el servicio público se preste de manera continua, uniforme y regular para satisfacer las necesidades de carácter colectivo es necesario que la autoridad concedente asegure, a través del conciliador designado, la suscripción de un convenio en un término improrrogable de 180 días naturales.</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Asimismo, es necesario que la autoridad concedente garantice la prestación del servicio público a través de la prestación directa del servicio o mediante la reasignación de la concesión a otro particular que cubra los requisitos previstos en la ley, para evitar el prejuicio del interés público y una crisis en servicio públicos de gran trascendencia.</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La revocación de la concesión, por ser un acto administrativo en el que se realiza una manifestación unilateral por parte de la autoridad concedente, retira del campo jurídico un acto válido y eficaz por motivos supervinientes, por lo cual la autoridad puede requisar y asumir la titularidad de las relaciones laborales, sin afectar los derechos de los trabajadores frente al comerciante fallido.</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Por lo anterior, en caso de que se continúe laborando ya sea para la autoridad concedente o para el nuevo concesionario, se iniciará una nueva relación laboral sin que se constituya la figura de “patrón sustituto”.</w:t>
      </w:r>
    </w:p>
    <w:p w:rsidR="000352B9" w:rsidRPr="00C73EEE" w:rsidRDefault="000352B9" w:rsidP="000352B9">
      <w:pPr>
        <w:pStyle w:val="NormalWeb"/>
        <w:rPr>
          <w:rFonts w:ascii="Arial" w:hAnsi="Arial" w:cs="Arial"/>
          <w:sz w:val="22"/>
          <w:szCs w:val="22"/>
        </w:rPr>
      </w:pPr>
      <w:r w:rsidRPr="00C73EEE">
        <w:rPr>
          <w:rFonts w:ascii="Arial" w:hAnsi="Arial" w:cs="Arial"/>
          <w:sz w:val="22"/>
          <w:szCs w:val="22"/>
        </w:rPr>
        <w:t>Por lo expuesto y fundado, se somete a consideración del pleno la siguiente iniciativa con proyecto de</w:t>
      </w:r>
    </w:p>
    <w:p w:rsidR="000352B9" w:rsidRPr="00C73EEE" w:rsidRDefault="000352B9" w:rsidP="000352B9">
      <w:pPr>
        <w:pStyle w:val="centrar"/>
        <w:rPr>
          <w:rFonts w:ascii="Arial" w:hAnsi="Arial" w:cs="Arial"/>
          <w:sz w:val="22"/>
          <w:szCs w:val="22"/>
        </w:rPr>
      </w:pPr>
      <w:r w:rsidRPr="00C73EEE">
        <w:rPr>
          <w:rFonts w:ascii="Arial" w:hAnsi="Arial" w:cs="Arial"/>
          <w:sz w:val="22"/>
          <w:szCs w:val="22"/>
        </w:rPr>
        <w:t>Decreto</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Artículo Único.</w:t>
      </w:r>
      <w:r w:rsidRPr="00C73EEE">
        <w:rPr>
          <w:rFonts w:ascii="Arial" w:hAnsi="Arial" w:cs="Arial"/>
          <w:sz w:val="22"/>
          <w:szCs w:val="22"/>
        </w:rPr>
        <w:t xml:space="preserve"> Se adiciona el artículo 241 Bis a la Ley de Concursos Mercantiles, para quedar como sigue:</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lastRenderedPageBreak/>
        <w:t>Artículo 241.</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Artículo 241 Bis. Para los efectos del artículo anterior, la autoridad concedente deberá adoptar las siguientes acciones:</w:t>
      </w:r>
      <w:r w:rsidRPr="00C73EEE">
        <w:rPr>
          <w:rFonts w:ascii="Arial" w:hAnsi="Arial" w:cs="Arial"/>
          <w:sz w:val="22"/>
          <w:szCs w:val="22"/>
        </w:rPr>
        <w:t xml:space="preserve"> </w:t>
      </w:r>
    </w:p>
    <w:p w:rsidR="000352B9" w:rsidRPr="00C73EEE" w:rsidRDefault="000352B9" w:rsidP="000352B9">
      <w:pPr>
        <w:pStyle w:val="sangria"/>
        <w:rPr>
          <w:rFonts w:ascii="Arial" w:hAnsi="Arial" w:cs="Arial"/>
          <w:sz w:val="22"/>
          <w:szCs w:val="22"/>
        </w:rPr>
      </w:pPr>
      <w:r w:rsidRPr="00C73EEE">
        <w:rPr>
          <w:rStyle w:val="negritas"/>
          <w:rFonts w:ascii="Arial" w:hAnsi="Arial" w:cs="Arial"/>
          <w:sz w:val="22"/>
          <w:szCs w:val="22"/>
        </w:rPr>
        <w:t>I. Asegurar, por conducto del conciliador, la suscripción del convenio a que se refiere el artículo 148 de este ordenamiento en un plazo improrrogable de 180 días naturales;</w:t>
      </w:r>
      <w:r w:rsidRPr="00C73EEE">
        <w:rPr>
          <w:rFonts w:ascii="Arial" w:hAnsi="Arial" w:cs="Arial"/>
          <w:sz w:val="22"/>
          <w:szCs w:val="22"/>
        </w:rPr>
        <w:t xml:space="preserve"> </w:t>
      </w:r>
    </w:p>
    <w:p w:rsidR="000352B9" w:rsidRPr="00C73EEE" w:rsidRDefault="000352B9" w:rsidP="000352B9">
      <w:pPr>
        <w:pStyle w:val="sangria"/>
        <w:rPr>
          <w:rFonts w:ascii="Arial" w:hAnsi="Arial" w:cs="Arial"/>
          <w:sz w:val="22"/>
          <w:szCs w:val="22"/>
        </w:rPr>
      </w:pPr>
      <w:r w:rsidRPr="00C73EEE">
        <w:rPr>
          <w:rStyle w:val="negritas"/>
          <w:rFonts w:ascii="Arial" w:hAnsi="Arial" w:cs="Arial"/>
          <w:sz w:val="22"/>
          <w:szCs w:val="22"/>
        </w:rPr>
        <w:t>II. Revocar la concesión otorgada al comerciante y resignarla nuevamente, en los términos de las disposiciones legales aplicables;</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En este caso, la autoridad podrá requisar los bienes afectos al servicio público, a fin de garantizar su continuidad y seguridad y asumirá, a partir de esa fecha, la titularidad de las relaciones laborales con el personal necesario, sin afectar los derechos de éstos, frente al fallido.</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En ningún caso la asunción temporal ni definitiva del servicio o su reasignación podrán afectar los derechos de los trabajadores frente al comerciante fallido y, en caso de que se recontraten, iniciará una nueva relación laboral, sin que ninguna de las partes pueda invocar la procedencia de la figura de “patrón sustituto”.</w:t>
      </w:r>
      <w:r w:rsidRPr="00C73EEE">
        <w:rPr>
          <w:rFonts w:ascii="Arial" w:hAnsi="Arial" w:cs="Arial"/>
          <w:sz w:val="22"/>
          <w:szCs w:val="22"/>
        </w:rPr>
        <w:t xml:space="preserve"> </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En estos casos, el fallido continuará siempre el procedimiento concursal en los términos establecidos en la presente ley.</w:t>
      </w:r>
      <w:r w:rsidRPr="00C73EEE">
        <w:rPr>
          <w:rFonts w:ascii="Arial" w:hAnsi="Arial" w:cs="Arial"/>
          <w:sz w:val="22"/>
          <w:szCs w:val="22"/>
        </w:rPr>
        <w:t xml:space="preserve"> </w:t>
      </w:r>
    </w:p>
    <w:p w:rsidR="000352B9" w:rsidRPr="00C73EEE" w:rsidRDefault="000352B9" w:rsidP="000352B9">
      <w:pPr>
        <w:pStyle w:val="centrar"/>
        <w:rPr>
          <w:rFonts w:ascii="Arial" w:hAnsi="Arial" w:cs="Arial"/>
          <w:sz w:val="22"/>
          <w:szCs w:val="22"/>
        </w:rPr>
      </w:pPr>
      <w:r w:rsidRPr="00C73EEE">
        <w:rPr>
          <w:rFonts w:ascii="Arial" w:hAnsi="Arial" w:cs="Arial"/>
          <w:sz w:val="22"/>
          <w:szCs w:val="22"/>
        </w:rPr>
        <w:t>Transitorio</w:t>
      </w:r>
    </w:p>
    <w:p w:rsidR="000352B9" w:rsidRPr="00C73EEE" w:rsidRDefault="000352B9" w:rsidP="000352B9">
      <w:pPr>
        <w:pStyle w:val="NormalWeb"/>
        <w:rPr>
          <w:rFonts w:ascii="Arial" w:hAnsi="Arial" w:cs="Arial"/>
          <w:sz w:val="22"/>
          <w:szCs w:val="22"/>
        </w:rPr>
      </w:pPr>
      <w:r w:rsidRPr="00C73EEE">
        <w:rPr>
          <w:rStyle w:val="negritas"/>
          <w:rFonts w:ascii="Arial" w:hAnsi="Arial" w:cs="Arial"/>
          <w:sz w:val="22"/>
          <w:szCs w:val="22"/>
        </w:rPr>
        <w:t xml:space="preserve">Único. </w:t>
      </w:r>
      <w:r w:rsidRPr="00C73EEE">
        <w:rPr>
          <w:rFonts w:ascii="Arial" w:hAnsi="Arial" w:cs="Arial"/>
          <w:sz w:val="22"/>
          <w:szCs w:val="22"/>
        </w:rPr>
        <w:t>El presente decreto entrará en vigor el día siguiente al de su publicación en el Diario Oficial de la Federación.</w:t>
      </w:r>
    </w:p>
    <w:p w:rsidR="000352B9" w:rsidRPr="00C73EEE" w:rsidRDefault="000352B9" w:rsidP="000352B9">
      <w:pPr>
        <w:pStyle w:val="derecha"/>
        <w:rPr>
          <w:rFonts w:ascii="Arial" w:hAnsi="Arial" w:cs="Arial"/>
          <w:sz w:val="22"/>
          <w:szCs w:val="22"/>
        </w:rPr>
      </w:pPr>
      <w:r w:rsidRPr="00C73EEE">
        <w:rPr>
          <w:rFonts w:ascii="Arial" w:hAnsi="Arial" w:cs="Arial"/>
          <w:sz w:val="22"/>
          <w:szCs w:val="22"/>
        </w:rPr>
        <w:t>Palacio Legislativo de San Lázaro, a 4 de enero de 2012.</w:t>
      </w:r>
    </w:p>
    <w:p w:rsidR="000352B9" w:rsidRPr="00C73EEE" w:rsidRDefault="000352B9" w:rsidP="000352B9">
      <w:pPr>
        <w:pStyle w:val="atentamente"/>
        <w:rPr>
          <w:rFonts w:ascii="Arial" w:hAnsi="Arial" w:cs="Arial"/>
        </w:rPr>
      </w:pPr>
      <w:r w:rsidRPr="00C73EEE">
        <w:rPr>
          <w:rFonts w:ascii="Arial" w:hAnsi="Arial" w:cs="Arial"/>
        </w:rPr>
        <w:t>Diputada Yolanda de la Torre Valdez (rúbrica)</w:t>
      </w:r>
    </w:p>
    <w:bookmarkEnd w:id="0"/>
    <w:p w:rsidR="008068BD" w:rsidRPr="00C73EEE" w:rsidRDefault="00C73EEE">
      <w:pPr>
        <w:rPr>
          <w:rFonts w:ascii="Arial" w:hAnsi="Arial" w:cs="Arial"/>
        </w:rPr>
      </w:pPr>
    </w:p>
    <w:sectPr w:rsidR="008068BD" w:rsidRPr="00C73E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B9"/>
    <w:rsid w:val="000352B9"/>
    <w:rsid w:val="00B4687E"/>
    <w:rsid w:val="00C73EE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52B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352B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352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352B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352B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352B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352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52B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352B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352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352B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352B9"/>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352B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35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4562">
      <w:bodyDiv w:val="1"/>
      <w:marLeft w:val="150"/>
      <w:marRight w:val="150"/>
      <w:marTop w:val="0"/>
      <w:marBottom w:val="0"/>
      <w:divBdr>
        <w:top w:val="none" w:sz="0" w:space="0" w:color="auto"/>
        <w:left w:val="none" w:sz="0" w:space="0" w:color="auto"/>
        <w:bottom w:val="none" w:sz="0" w:space="0" w:color="auto"/>
        <w:right w:val="none" w:sz="0" w:space="0" w:color="auto"/>
      </w:divBdr>
      <w:divsChild>
        <w:div w:id="1409039304">
          <w:marLeft w:val="0"/>
          <w:marRight w:val="0"/>
          <w:marTop w:val="0"/>
          <w:marBottom w:val="0"/>
          <w:divBdr>
            <w:top w:val="none" w:sz="0" w:space="0" w:color="auto"/>
            <w:left w:val="none" w:sz="0" w:space="0" w:color="auto"/>
            <w:bottom w:val="none" w:sz="0" w:space="0" w:color="auto"/>
            <w:right w:val="none" w:sz="0" w:space="0" w:color="auto"/>
          </w:divBdr>
          <w:divsChild>
            <w:div w:id="17520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2012-02-03T18:30:00Z</dcterms:created>
  <dcterms:modified xsi:type="dcterms:W3CDTF">2012-02-03T22:33:00Z</dcterms:modified>
</cp:coreProperties>
</file>