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A4" w:rsidRPr="005B12D2" w:rsidRDefault="008875A4" w:rsidP="008875A4">
      <w:pPr>
        <w:pStyle w:val="versales"/>
        <w:rPr>
          <w:rFonts w:ascii="Arial" w:hAnsi="Arial" w:cs="Arial"/>
          <w:color w:val="auto"/>
        </w:rPr>
      </w:pPr>
      <w:bookmarkStart w:id="0" w:name="DictamenaD1"/>
      <w:bookmarkStart w:id="1" w:name="_GoBack"/>
      <w:bookmarkEnd w:id="1"/>
      <w:r w:rsidRPr="005B12D2">
        <w:rPr>
          <w:rFonts w:ascii="Arial" w:hAnsi="Arial" w:cs="Arial"/>
          <w:color w:val="auto"/>
        </w:rPr>
        <w:t xml:space="preserve">De la Comisión de Régimen, Reglamentos y Prácticas Parlamentarias, con proyecto de decreto que reforma, adiciona y deroga diversas disposiciones del Reglamento de Transparencia, Acceso a la Información Pública y Protección de Datos Personales de la Cámara de Diputados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Honorable Asamblea:</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Los integrantes de la Comisión de Régimen, Reglamentos y Prácticas Parlamentarias (Comisión), presentamos a la consideración del Pleno de esta Cámara de Diputados, el dictamen con proyecto de decreto por el que se reforman, adicionan y derogan diversos artículos del Reglamento de Transparencia, Acceso a la Información Pública y Protección de Datos Personales de la Cámara de Diputados, bajo lo siguiente: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I. Antecedentes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El 12 de mayo de 2003 la Cámara de Diputados publicó el Reglamento para la Transparencia y el Acceso a la Información Pública de la Honorable Cámara de Diputados, mediante el cual se creó la Unidad de Enlace, encargada de recibir y dar trámite a las solicitudes de acceso y realizar las acciones correspondientes para que los organismos de la Cámara entreguen la información.</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El 6 de abril de 2009 se publicó el Reglamento de Transparencia, Acceso a la Información Pública y Protección de Datos Personales de la Cámara de Diputados, con el cual se abrogó el Reglamento emitido en mayo de 2003, proponiendo la creación del Órgano Rector y del Consejo de Transparencia, además de la Unidad de Enlace.</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Durante la presente Legislatura se han turnado a esta Comisión tres iniciativas que buscan reformar el Reglamento para la Transparencia de la Cámara de Diputados.</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La primera iniciativa se presentó el 3 de septiembre de 2009, por el diputado Julio Castellanos Ramírez, del Grupo Parlamentario del Partido Acción Nacional.</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La iniciativa se publicó en la Gaceta Parlamentaria de la Cámara de Diputados, el jueves 3 de septiembre de 2009 número 2838-II.</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La segunda iniciativa se presentó ante el Pleno, el 18 de noviembre de 2009, por el diputado Jaime Fernando Cárdenas Gracia, del Grupo Parlamentario del Partido del Trabajo.</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La iniciativa se publicó en la Gaceta Parlamentaria de la Cámara de Diputados, número 2888-II, el viernes 13 de noviembre de 2009.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La tercera y última iniciativa fue presentada por el diputado Guillermo Cueva Sada, del Grupo Parlamentario del Partido Verde Ecologista de México, el 28 de septiembre de 2010.</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La iniciativa se publicó en la Gaceta Parlamentaria de la Cámara de Diputados, año XIII, número 3105-II, el martes 28 de septiembre de 2010.</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lastRenderedPageBreak/>
        <w:t>La Mesa Directiva de la Cámara de Diputados determinó que las tres iniciativas se turnaran a la Comisión de Régimen, Reglamentos y Prácticas Parlamentarias.</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El 27 de septiembre de 2011, se recibió oficio del Centro de Estudios de Derecho e Investigaciones Parlamentarias donde manifiestan opinión respecto de la Iniciativa presentada por el diputado Guillermo Cueva Sada, del Grupo Parlamentario del Partido Verde Ecologista de México.</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El 21 de septiembre de 2011, la Comisión solicitó a la Junta de Coordinación Política su opinión respecto de las iniciativas arriba señaladas, a fin de tener mayores elementos para su </w:t>
      </w:r>
      <w:proofErr w:type="spellStart"/>
      <w:r w:rsidRPr="005B12D2">
        <w:rPr>
          <w:rFonts w:ascii="Arial" w:hAnsi="Arial" w:cs="Arial"/>
          <w:sz w:val="22"/>
          <w:szCs w:val="22"/>
        </w:rPr>
        <w:t>dictaminación</w:t>
      </w:r>
      <w:proofErr w:type="spellEnd"/>
      <w:r w:rsidRPr="005B12D2">
        <w:rPr>
          <w:rFonts w:ascii="Arial" w:hAnsi="Arial" w:cs="Arial"/>
          <w:sz w:val="22"/>
          <w:szCs w:val="22"/>
        </w:rPr>
        <w:t>.</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El 29 de noviembre del presente, el Secretario Ejecutivo de la Junta de Coordinación Política envió a la Comisión las opiniones de la Secretaría General, formuladas por la Dirección General de Asuntos Jurídicos, así como por la Contraloría Interna de la Cámara de Diputados, respecto de las iniciativas referidas.</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Por otro lado, el 8 de diciembre del presente año, esta Comisión recibió oficio suscrito por todos los integrantes de la Mesa Directiva, en relación al juicio de amparo 487 promovido por el </w:t>
      </w:r>
      <w:proofErr w:type="spellStart"/>
      <w:r w:rsidRPr="005B12D2">
        <w:rPr>
          <w:rFonts w:ascii="Arial" w:hAnsi="Arial" w:cs="Arial"/>
          <w:sz w:val="22"/>
          <w:szCs w:val="22"/>
        </w:rPr>
        <w:t>ScotiaBank</w:t>
      </w:r>
      <w:proofErr w:type="spellEnd"/>
      <w:r w:rsidRPr="005B12D2">
        <w:rPr>
          <w:rFonts w:ascii="Arial" w:hAnsi="Arial" w:cs="Arial"/>
          <w:sz w:val="22"/>
          <w:szCs w:val="22"/>
        </w:rPr>
        <w:t xml:space="preserve">, Inverlat, Sociedad Anónima Institución de Banca Múltiple, Grupo Financiero </w:t>
      </w:r>
      <w:proofErr w:type="spellStart"/>
      <w:r w:rsidRPr="005B12D2">
        <w:rPr>
          <w:rFonts w:ascii="Arial" w:hAnsi="Arial" w:cs="Arial"/>
          <w:sz w:val="22"/>
          <w:szCs w:val="22"/>
        </w:rPr>
        <w:t>ScotiaBank</w:t>
      </w:r>
      <w:proofErr w:type="spellEnd"/>
      <w:r w:rsidRPr="005B12D2">
        <w:rPr>
          <w:rFonts w:ascii="Arial" w:hAnsi="Arial" w:cs="Arial"/>
          <w:sz w:val="22"/>
          <w:szCs w:val="22"/>
        </w:rPr>
        <w:t xml:space="preserve"> Inverlat, en contra de, entre otros actos, la omisión de la Cámara de Diputados por no haber llevado a cabo el proceso de constitución e integración del Consejo de Transparencia, y en específico al incidente de inejecución II-81/2011, radicado en el décimo séptimo Tribunal Colegiado en Materia Administrativa del Primer Circuito. El oficio que la Mesa Directiva remitió a esta Comisión dictaminadora, en su parte sustantiva establece: “Se</w:t>
      </w:r>
      <w:r w:rsidRPr="005B12D2">
        <w:rPr>
          <w:rStyle w:val="italicas"/>
          <w:rFonts w:ascii="Arial" w:hAnsi="Arial" w:cs="Arial"/>
          <w:sz w:val="22"/>
          <w:szCs w:val="22"/>
        </w:rPr>
        <w:t xml:space="preserve"> solicita de la manera más atenta (...) para que la Comisión de Régimen, Reglamentos y Prácticas Parlamentarias presente a la brevedad a la consideración del Pleno, el dictamen por el que se reforma el Reglamento en cuestión, que prevé entre otros aspectos el carácter de honorario que deberán tener los consejeros, y que en su caso se pondere que cada uno de ellos cuente con una compensación por cada caso atendido, de acuerdo a los parámetros que se establezcan en la normatividad...”</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Asimismo, la Comisión recibió copia del oficio que la Conferencia para la Dirección y Programación de los Trabajos Legislativos envió a la Junta de Coordinación Política, respecto al mismo tema, con el fin de que “una vez que la Comisión de Régimen, Reglamentos y Prácticas Parlamentarias presente a la consideración del Pleno el dictamen por el que se reforma el Reglamento en cuestión, con la finalidad que los consejeros que se elijan tengan el carácter de honorario, y una vez aprobada la reforma, en el menor tiempo posible se presente la propuesta de terna al Pleno de la Cámara de Diputados para que esté en posibilidad de integrarse el Consejo de Transparencia, y así dar cumplimiento a la sentencia de amparo de referencia, lo anterior en términos del artículo Sexto Transitorio del Reglamento de Transparencia, Acceso a la Información Pública y Protección de Datos Personales de la Cámara de Diputados”.</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II. Contenido de las iniciativas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La iniciativa que presentó el </w:t>
      </w:r>
      <w:r w:rsidRPr="005B12D2">
        <w:rPr>
          <w:rStyle w:val="negritas"/>
          <w:rFonts w:ascii="Arial" w:hAnsi="Arial" w:cs="Arial"/>
          <w:sz w:val="22"/>
          <w:szCs w:val="22"/>
        </w:rPr>
        <w:t>diputado Julio Castellanos</w:t>
      </w:r>
      <w:r w:rsidRPr="005B12D2">
        <w:rPr>
          <w:rFonts w:ascii="Arial" w:hAnsi="Arial" w:cs="Arial"/>
          <w:sz w:val="22"/>
          <w:szCs w:val="22"/>
        </w:rPr>
        <w:t xml:space="preserve"> propone reformar la fracción VII, del numeral 2 del artículo 49 y el artículo 5, del Reglamento de Transparencia, Acceso a la Información Pública y Protección de datos Personales de la Cámara de Diputados, con </w:t>
      </w:r>
      <w:r w:rsidRPr="005B12D2">
        <w:rPr>
          <w:rFonts w:ascii="Arial" w:hAnsi="Arial" w:cs="Arial"/>
          <w:sz w:val="22"/>
          <w:szCs w:val="22"/>
        </w:rPr>
        <w:lastRenderedPageBreak/>
        <w:t>el fin de que la Cámara publique información relativa a la estructura, procesos administrativos y recursos derivados del trabajo parlamentario.</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Por su parte, la iniciativa del </w:t>
      </w:r>
      <w:r w:rsidRPr="005B12D2">
        <w:rPr>
          <w:rStyle w:val="negritas"/>
          <w:rFonts w:ascii="Arial" w:hAnsi="Arial" w:cs="Arial"/>
          <w:sz w:val="22"/>
          <w:szCs w:val="22"/>
        </w:rPr>
        <w:t>diputado Jaime Cárdenas</w:t>
      </w:r>
      <w:r w:rsidRPr="005B12D2">
        <w:rPr>
          <w:rFonts w:ascii="Arial" w:hAnsi="Arial" w:cs="Arial"/>
          <w:sz w:val="22"/>
          <w:szCs w:val="22"/>
        </w:rPr>
        <w:t xml:space="preserve"> propone que ante la situación económica actual de nuestro país, se evite un Consejo con una amplia estructura burocrática. Así, sugiere que los consejeros se elijan mediante convocatoria pública y abierta a especialistas, comprometidos con la transparencia y que el cargo de consejeros sea honorario; propone además, que se rinda un informe mensual del ejercicio del gasto y se publique el Programa de Trabajo anual de la Contraloría Interna, con sus auditorías respectivas.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Por último, la Iniciativa presentada por el </w:t>
      </w:r>
      <w:r w:rsidRPr="005B12D2">
        <w:rPr>
          <w:rStyle w:val="negritas"/>
          <w:rFonts w:ascii="Arial" w:hAnsi="Arial" w:cs="Arial"/>
          <w:sz w:val="22"/>
          <w:szCs w:val="22"/>
        </w:rPr>
        <w:t>diputado Guillermo Cueva</w:t>
      </w:r>
      <w:r w:rsidRPr="005B12D2">
        <w:rPr>
          <w:rFonts w:ascii="Arial" w:hAnsi="Arial" w:cs="Arial"/>
          <w:sz w:val="22"/>
          <w:szCs w:val="22"/>
        </w:rPr>
        <w:t xml:space="preserve"> busca que todos los nombres de los servidores públicos que desempeñen un empleo, cargo o comisión de cualquier naturaleza en la Cámara de Diputados aparezcan publicados en la Gaceta Parlamentaria y en la sección de transparencia del portal de Internet de la Cámara de Diputados.</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III. Consideraciones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La Cámara de Diputados está facultada y tiene competencia para conocer y resolver las iniciativas que en este dictamen se atienden, de acuerdo a lo que establece el segundo párrafo, del artículo 70, así como el segundo párrafo, del artículo 6°, de la Constitución Política de los Estados Unidos Mexicanos. En el mismo sentido, la Comisión de Régimen, Reglamentos y Prácticas Parlamentarias tiene atribución para conocer y resolver los asuntos registrados en sus expedientes con los números 6, 20, 27 y 65 de esta Legislatura, de acuerdo a lo que dispone el artículo 40, párrafo 2, inciso a), de la Ley Orgánica del Congreso General de los Estados Unidos Mexicanos, en relación con los diversos 80, 85 y 157, numeral 1, fracción I, todos del Reglamento de la Cámara de Diputados.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2. Resulta inaplazable que esta Legislatura realice las adecuaciones necesarias al Reglamento que regula la trasparencia y la protección de datos personales en la Cámara de Diputados, pues aún está pendiente poner en marcha de manera total, el ordenamiento que fue aprobado por la anterior Legislatura.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3. Durante la pasada Legislatura, las fracciones parlamentarias consideraron oportuna la propuesta de incluir en el texto hasta hoy vigente, un organismo conformado por individuos externos a la Cámara, con el objetivo de garantizar la imparcialidad de dicho órgano y con ello procurar una mayor certidumbre al proceso de transparencia y acceso a la información de la Cámara. Se pensó entonces que el Consejo era la mejor figura para alcanzar el consenso necesario que permitiera dar origen a un nuevo Reglamento de Transparencia de la Cámara de Diputados, tal como ocurrió. Sin embargo, durante la actual LXI Legislatura y a pesar de la coincidencia con la conveniente figura del Consejo, no ha sido posible la designación de los integrantes fundadores ese órgano fundamentalmente porque han mediado consideraciones diversas relacionadas con el carácter que deben tener dichos Consejeros, en su caso, la forma de retribuir sus actividades y algunas otras cuestiones de carácter administrativo.</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4. En ese orden de ideas hay que señalar que el Proyecto de Presupuesto para el ejercicio de 2010 “</w:t>
      </w:r>
      <w:r w:rsidRPr="005B12D2">
        <w:rPr>
          <w:rStyle w:val="italicas"/>
          <w:rFonts w:ascii="Arial" w:hAnsi="Arial" w:cs="Arial"/>
          <w:sz w:val="22"/>
          <w:szCs w:val="22"/>
        </w:rPr>
        <w:t xml:space="preserve">se formuló e integró atendiendo (...) los criterios de racionalidad y </w:t>
      </w:r>
      <w:r w:rsidRPr="005B12D2">
        <w:rPr>
          <w:rStyle w:val="italicas"/>
          <w:rFonts w:ascii="Arial" w:hAnsi="Arial" w:cs="Arial"/>
          <w:sz w:val="22"/>
          <w:szCs w:val="22"/>
        </w:rPr>
        <w:lastRenderedPageBreak/>
        <w:t xml:space="preserve">austeridad presupuestal establecidos al interior de la propia Cámara (...) Estos lineamientos, además de ser permanentes, procurarán incrementar las medidas de uso racional de los recursos disponibles cuidando de no afectar con ello la función sustantiva de este Órgano </w:t>
      </w:r>
      <w:proofErr w:type="gramStart"/>
      <w:r w:rsidRPr="005B12D2">
        <w:rPr>
          <w:rStyle w:val="italicas"/>
          <w:rFonts w:ascii="Arial" w:hAnsi="Arial" w:cs="Arial"/>
          <w:sz w:val="22"/>
          <w:szCs w:val="22"/>
        </w:rPr>
        <w:t>Legislativo</w:t>
      </w:r>
      <w:r w:rsidRPr="005B12D2">
        <w:rPr>
          <w:rFonts w:ascii="Arial" w:hAnsi="Arial" w:cs="Arial"/>
          <w:sz w:val="22"/>
          <w:szCs w:val="22"/>
        </w:rPr>
        <w:t xml:space="preserve"> ”</w:t>
      </w:r>
      <w:proofErr w:type="gramEnd"/>
      <w:r w:rsidRPr="005B12D2">
        <w:rPr>
          <w:rFonts w:ascii="Arial" w:hAnsi="Arial" w:cs="Arial"/>
          <w:sz w:val="22"/>
          <w:szCs w:val="22"/>
        </w:rPr>
        <w:t>.</w:t>
      </w:r>
      <w:r w:rsidRPr="005B12D2">
        <w:rPr>
          <w:rStyle w:val="negritas"/>
          <w:rFonts w:ascii="Arial" w:hAnsi="Arial" w:cs="Arial"/>
          <w:sz w:val="22"/>
          <w:szCs w:val="22"/>
        </w:rPr>
        <w:t xml:space="preserve"> </w:t>
      </w:r>
      <w:r w:rsidRPr="005B12D2">
        <w:rPr>
          <w:rStyle w:val="superscript"/>
          <w:rFonts w:ascii="Arial" w:hAnsi="Arial" w:cs="Arial"/>
          <w:sz w:val="15"/>
          <w:szCs w:val="15"/>
        </w:rPr>
        <w:t>1</w:t>
      </w:r>
      <w:r w:rsidRPr="005B12D2">
        <w:rPr>
          <w:rStyle w:val="negritas"/>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5. De igual manera, para el ejercicio fiscal de 2011 el Comité de Administración aprobó los Lineamientos de Racionalidad y Austeridad Presupuestaria, correspondiente a la Cámara de Diputados. En dicho documento estableció que en materia de servicios personales:</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“I. Se suspenderá la creación de plazas, con excepción de las que, conforme a la normatividad, aprueben los órganos de gobierno.</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II. Las contrataciones de personal deberán reducirse al mínimo indispensable sin detrimento en el cumplimiento de los trabajos encomendados, aprovechando la fuerza laboral disponible de acuerdo a los perfiles ocupaciones y las necesidades en cada caso.</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En materia de recursos materiales y servicios:</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I. Las adquisiciones de bienes deberán efectuarse con apego a la normatividad vigente, procurando consolidarlas con el objeto de lograr mejores condiciones de calidad, oportunidad, precio y demás circunstancias pertinentes para los intereses de la Cámara.</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II. Las erogaciones por concepto de materiales y suministros deberán reducirse al mínimo indispensable en el caso de papelería, útiles de escritorio, fotocopiado, consumibles de cómputo y utensilios en general. La unidad administrativa responsable de la función de proveeduría deberá llevar a cabo la revisión y análisis del catálogo de bienes, a efecto de que únicamente se adquieran y suministren a las áreas administrativas los indispensables para su operación, de acuerdo a la identificación de sus consumos”.</w:t>
      </w:r>
      <w:r w:rsidRPr="005B12D2">
        <w:rPr>
          <w:rFonts w:ascii="Arial" w:hAnsi="Arial" w:cs="Arial"/>
          <w:sz w:val="22"/>
          <w:szCs w:val="22"/>
        </w:rPr>
        <w:t xml:space="preserve"> </w:t>
      </w:r>
      <w:r w:rsidRPr="005B12D2">
        <w:rPr>
          <w:rStyle w:val="superscript"/>
          <w:rFonts w:ascii="Arial" w:hAnsi="Arial" w:cs="Arial"/>
          <w:sz w:val="15"/>
          <w:szCs w:val="15"/>
        </w:rPr>
        <w:t>2</w:t>
      </w:r>
      <w:r w:rsidRPr="005B12D2">
        <w:rPr>
          <w:rStyle w:val="negritas"/>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6. Por lo anterior y en coincidencia plena con lo expuesto por la Iniciativa presentada por el diputado Jaime Cárdenas, esta dictaminadora estima innecesario crear una amplia estructura burocrática, adicional a la que actualmente existe, sobre todo si se considera el gasto en infraestructura, equipo y personal que tendría que erogarse para la creación y puesta en marcha de un Consejo como el que actualmente establece el Reglamento de Transparencia.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7. Al respecto, la Contraloría opina que </w:t>
      </w:r>
      <w:r w:rsidRPr="005B12D2">
        <w:rPr>
          <w:rStyle w:val="italicas"/>
          <w:rFonts w:ascii="Arial" w:hAnsi="Arial" w:cs="Arial"/>
          <w:sz w:val="22"/>
          <w:szCs w:val="22"/>
        </w:rPr>
        <w:t>“resulta positivo el hecho de que los tres Consejeros se desempeñen en forma honorífica, sin embargo, señala, pudiera contrastar la expectativa del compromiso con el desempeño de la función encomendada”.</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8. En tal sentido, se retoma la propuesta de la Iniciativa del diputado Cárdenas a fin de que los consejeros se elijan a través de una convocatoria pública y abierta a especialistas comprometidos con la transparencia.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9. Al mismo tiempo, se atiende la observación hecha por la Contraloría Interna de la Cámara respecto al tema, en el sentido de que </w:t>
      </w:r>
      <w:r w:rsidRPr="005B12D2">
        <w:rPr>
          <w:rStyle w:val="italicas"/>
          <w:rFonts w:ascii="Arial" w:hAnsi="Arial" w:cs="Arial"/>
          <w:sz w:val="22"/>
          <w:szCs w:val="22"/>
        </w:rPr>
        <w:t xml:space="preserve">“resulta positivo el hecho de que los Consejeros se desempeñen en forma honorífica, sin embargo pudiera contrastar la </w:t>
      </w:r>
      <w:r w:rsidRPr="005B12D2">
        <w:rPr>
          <w:rStyle w:val="italicas"/>
          <w:rFonts w:ascii="Arial" w:hAnsi="Arial" w:cs="Arial"/>
          <w:sz w:val="22"/>
          <w:szCs w:val="22"/>
        </w:rPr>
        <w:lastRenderedPageBreak/>
        <w:t>expectativa del compromiso con el desempeño de la función encomendada</w:t>
      </w:r>
      <w:proofErr w:type="gramStart"/>
      <w:r w:rsidRPr="005B12D2">
        <w:rPr>
          <w:rStyle w:val="italicas"/>
          <w:rFonts w:ascii="Arial" w:hAnsi="Arial" w:cs="Arial"/>
          <w:sz w:val="22"/>
          <w:szCs w:val="22"/>
        </w:rPr>
        <w:t>”</w:t>
      </w:r>
      <w:r w:rsidRPr="005B12D2">
        <w:rPr>
          <w:rFonts w:ascii="Arial" w:hAnsi="Arial" w:cs="Arial"/>
          <w:sz w:val="22"/>
          <w:szCs w:val="22"/>
        </w:rPr>
        <w:t xml:space="preserve"> ,</w:t>
      </w:r>
      <w:proofErr w:type="gramEnd"/>
      <w:r w:rsidRPr="005B12D2">
        <w:rPr>
          <w:rFonts w:ascii="Arial" w:hAnsi="Arial" w:cs="Arial"/>
          <w:sz w:val="22"/>
          <w:szCs w:val="22"/>
        </w:rPr>
        <w:t xml:space="preserve"> pues es preciso no perder de vista que se trata de desempeñar funciones específicas en apoyo del Órgano Rector. Por ello, se propone establecer la posibilidad de otorgar una compensación a los consejeros, de acuerdo a los casos que atiendan y dejar en manos del Comité de Administración la decisión, así como la asignación de los recursos pertinentes para el debido cumplimiento de sus tareas, en atención a que es el órgano adecuado para ello, según sus atribuciones.</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10. Por otra parte, tomando en consideración las observaciones de la Mesa Directiva, </w:t>
      </w:r>
      <w:r w:rsidRPr="005B12D2">
        <w:rPr>
          <w:rStyle w:val="italicas"/>
          <w:rFonts w:ascii="Arial" w:hAnsi="Arial" w:cs="Arial"/>
          <w:sz w:val="22"/>
          <w:szCs w:val="22"/>
        </w:rPr>
        <w:t>“el mecanismo para la elección de los consejeros se encuentra previsto en los artículos 25 a 29 del Reglamento de la Transparencia, en el que se establece que la Comisión de la Función Pública realizará lo concerniente a la convocatoria y proceso de valoración de los candidatos, turnará el dictamen con la fórmula propuesta a la Junta de Coordinación Política, y ésta la presentará al Pleno para su votación; también lo es que de conformidad con el artículo Sexto Transitorio del Reglamento de Transparencia, la Junta de Coordinación Política en un solo acto propondrá al Pleno para elección una terna para la elección de los “...consejeros fundadores”, situación que no ha acontecido.”</w:t>
      </w:r>
      <w:r w:rsidRPr="005B12D2">
        <w:rPr>
          <w:rFonts w:ascii="Arial" w:hAnsi="Arial" w:cs="Arial"/>
          <w:sz w:val="22"/>
          <w:szCs w:val="22"/>
        </w:rPr>
        <w:t xml:space="preserve"> En este sentido, y a efecto de dar cumplimiento a la integración del Consejo a la mayor brevedad posible, se propone derogar el artículo sexto Transitorio del Decreto por el que expidió el Reglamento para la Transparencia, Acceso a la Información Pública y Protección de Datos Personales de la Cámara de Diputados y actualizar su texto como parte de los Transitorios del Decreto cuyo proyecto se incluye en el presente dictamen, con el objeto de que cobre cabal vigencia y se proceda a su cumplimiento.</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11. Con el fin de aportar mayores datos a la sociedad acerca del destino de los recursos que se asignan anualmente a la Cámara, vía el Presupuesto de Egresos, se considera oportuno precisar que la información que se publique, en torno al presupuesto, debe estar actualizada de manera semestral, desglosando las partidas, los montos y las fechas de su ejercicio. Además, se aprecia adecuado cambiar el término “divulgar” que actualmente enuncia el artículo 46, por el de “publicar”, como lo propone el diputado Cárdenas, para expresar de manera clara que la información debe publicitarse en los medios de difusión de la Cámara. Se incluye la obligatoriedad de la Cámara para publicar el Programa de Trabajo de la Contraloría Interna.</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12. Por lo que respecta a la Iniciativa del diputado Julio Castellanos, la Comisión considera que el ordenamiento vigente, responde a la necesidad de transparentar el ejercicio del gasto de los grupos parlamentarios, tal como se establece en el artículo 46, al que remite el actual 49. De la misma forma, esta Comisión observa que la propuesta contenida en la iniciativa, referente a la información de los viajes oficiales de los diputados, autorizados por la Cámara de Diputados, está regulada por el artículo 277 del Reglamento de la Cámara de Diputados, publicado el 24 de diciembre de 2010 en el Diario Oficial de la Federación que a la letra dice:</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“1. Los integrantes de las delegaciones y Grupos de Amistad que hayan desarrollado alguna actividad de diplomacia parlamentaria en lo individual, tendrán la responsabilidad de rendir un informe de actividades y asistencia a los eventos correspondientes, dentro de los veinte días posteriores a la conclusión de la actividad, que contendrá:</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I. Objetivos y resultados de la actividad,</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lastRenderedPageBreak/>
        <w:t>II. Evaluación de la actividad, de sus resultados y, en su caso, del seguimiento de actividades relacionadas previas, y</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italicas"/>
          <w:rFonts w:ascii="Arial" w:hAnsi="Arial" w:cs="Arial"/>
          <w:sz w:val="22"/>
          <w:szCs w:val="22"/>
        </w:rPr>
        <w:t>III. Anexo con declaraciones, resolutivos y acuerdos”.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13. Por último, respecto de la Iniciativa presentada por el diputado Guillermo Cueva Sada, del Grupo Parlamentario del Partido Verde Ecologista de México, se estima oportuno atender la opinión del Centro de Estudios de Derecho e Investigaciones Parlamentarias de la Cámara de Diputados: </w:t>
      </w:r>
      <w:r w:rsidRPr="005B12D2">
        <w:rPr>
          <w:rStyle w:val="italicas"/>
          <w:rFonts w:ascii="Arial" w:hAnsi="Arial" w:cs="Arial"/>
          <w:sz w:val="22"/>
          <w:szCs w:val="22"/>
        </w:rPr>
        <w:t>“No se alcanza a percibir la importancia de la propuesta que además de encarecer el sistema de información y hacerlo más complicado de operar para la transparencia de las funciones sustantivas de la Cámara, pues poco ayuda a ese propósito el nombre de un auxiliar de intendencia, o un archivista, tal como hoy se desprende dicha exposición de motivos”.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En razón de todo lo antes expuesto, esta dictaminadora acuerda presentar para su consideración al Pleno de esta Asamblea, el siguiente Proyecto de:</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Decreto por el que se reforman, adicionan y derogan diversas disposiciones del Reglamento de Transparencia, Acceso a la Información Pública y Protección de Datos Personales de la Cámara de Diputados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Único.</w:t>
      </w:r>
      <w:r w:rsidRPr="005B12D2">
        <w:rPr>
          <w:rFonts w:ascii="Arial" w:hAnsi="Arial" w:cs="Arial"/>
          <w:sz w:val="22"/>
          <w:szCs w:val="22"/>
        </w:rPr>
        <w:t xml:space="preserve"> Se reforman los artículos 10, numerales 1 y 4; 11, numeral 4; 15, numeral 1 y fracción XII; 22, numeral 1, fracción III; 23, numerales 4 y 5; 25, numeral 1; 27, numeral 2, fracción I; 46, numeral 1 y fracciones X y XI, y 81, numeral 1; Se adicionan los artículos 15, con las fracciones XX a XXVII; 19, numeral 2, con una fracción XVII, pasando la actual XVII a ser XVIII; 30, numeral 1, con una fracción V; 69, con un numeral 2 y las I a V, y 141, y Se derogan la fracción I, del numeral 1 del artículo 32 y el Artículo Sexto Transitorio del Reglamento de Transparencia, Acceso a la Información Pública y Protección de Datos Personales de la Cámara de Diputados, para quedar como sigue:</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10.</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El Órgano Rector es la instancia encargada de establecer las políticas institucionales en materia de transparencia, acceso a la información pública y protección de datos personales en la Cámara. </w:t>
      </w:r>
      <w:r w:rsidRPr="005B12D2">
        <w:rPr>
          <w:rStyle w:val="negritas"/>
          <w:rFonts w:ascii="Arial" w:hAnsi="Arial" w:cs="Arial"/>
          <w:sz w:val="22"/>
          <w:szCs w:val="22"/>
        </w:rPr>
        <w:t>La Junta de Coordinación Política de la Cámara funge como el Órgano Rector a que se refiere este Capítulo.</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2. y 3.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4. Los vocales son los </w:t>
      </w:r>
      <w:r w:rsidRPr="005B12D2">
        <w:rPr>
          <w:rStyle w:val="negritas"/>
          <w:rFonts w:ascii="Arial" w:hAnsi="Arial" w:cs="Arial"/>
          <w:sz w:val="22"/>
          <w:szCs w:val="22"/>
        </w:rPr>
        <w:t>integrantes de la Junta que representan a los Grupos.</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t>5. ...</w:t>
      </w:r>
      <w:proofErr w:type="gramEnd"/>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11.</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1. a 3.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4. Los integrantes del Órgano Rector pueden nombrar, de entre los diputados </w:t>
      </w:r>
      <w:r w:rsidRPr="005B12D2">
        <w:rPr>
          <w:rStyle w:val="negritas"/>
          <w:rFonts w:ascii="Arial" w:hAnsi="Arial" w:cs="Arial"/>
          <w:sz w:val="22"/>
          <w:szCs w:val="22"/>
        </w:rPr>
        <w:t xml:space="preserve">Vicecoordinadores de los Grupos representados en la </w:t>
      </w:r>
      <w:proofErr w:type="gramStart"/>
      <w:r w:rsidRPr="005B12D2">
        <w:rPr>
          <w:rStyle w:val="negritas"/>
          <w:rFonts w:ascii="Arial" w:hAnsi="Arial" w:cs="Arial"/>
          <w:sz w:val="22"/>
          <w:szCs w:val="22"/>
        </w:rPr>
        <w:t>Cámara</w:t>
      </w:r>
      <w:r w:rsidRPr="005B12D2">
        <w:rPr>
          <w:rFonts w:ascii="Arial" w:hAnsi="Arial" w:cs="Arial"/>
          <w:sz w:val="22"/>
          <w:szCs w:val="22"/>
        </w:rPr>
        <w:t xml:space="preserve"> ,</w:t>
      </w:r>
      <w:proofErr w:type="gramEnd"/>
      <w:r w:rsidRPr="005B12D2">
        <w:rPr>
          <w:rFonts w:ascii="Arial" w:hAnsi="Arial" w:cs="Arial"/>
          <w:sz w:val="22"/>
          <w:szCs w:val="22"/>
        </w:rPr>
        <w:t xml:space="preserve"> suplentes que los representen y asuman sus responsabilidades en las sesiones.</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lastRenderedPageBreak/>
        <w:t>5. ...</w:t>
      </w:r>
      <w:proofErr w:type="gramEnd"/>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15.</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w:t>
      </w:r>
      <w:r w:rsidRPr="005B12D2">
        <w:rPr>
          <w:rStyle w:val="negritas"/>
          <w:rFonts w:ascii="Arial" w:hAnsi="Arial" w:cs="Arial"/>
          <w:sz w:val="22"/>
          <w:szCs w:val="22"/>
        </w:rPr>
        <w:t>Son facultades</w:t>
      </w:r>
      <w:r w:rsidRPr="005B12D2">
        <w:rPr>
          <w:rFonts w:ascii="Arial" w:hAnsi="Arial" w:cs="Arial"/>
          <w:sz w:val="22"/>
          <w:szCs w:val="22"/>
        </w:rPr>
        <w:t xml:space="preserve"> del Órgano Rector:</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I. a XI.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XII. </w:t>
      </w:r>
      <w:r w:rsidRPr="005B12D2">
        <w:rPr>
          <w:rStyle w:val="negritas"/>
          <w:rFonts w:ascii="Arial" w:hAnsi="Arial" w:cs="Arial"/>
          <w:sz w:val="22"/>
          <w:szCs w:val="22"/>
        </w:rPr>
        <w:t>Presentar al Pleno los informes semestrales;</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XIII. a XIX.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w:t>
      </w:r>
      <w:r w:rsidRPr="005B12D2">
        <w:rPr>
          <w:rFonts w:ascii="Arial" w:hAnsi="Arial" w:cs="Arial"/>
          <w:sz w:val="22"/>
          <w:szCs w:val="22"/>
        </w:rPr>
        <w:t xml:space="preserve"> </w:t>
      </w:r>
      <w:r w:rsidRPr="005B12D2">
        <w:rPr>
          <w:rStyle w:val="negritas"/>
          <w:rFonts w:ascii="Arial" w:hAnsi="Arial" w:cs="Arial"/>
          <w:sz w:val="22"/>
          <w:szCs w:val="22"/>
        </w:rPr>
        <w:t>Conocer, sustanciar y resolver el recurso de revisión, en materia de transparencia, acceso a la información y protección de datos personales en la Cámara. La Junta de Coordinación Política de la Cámara deberá excusarse de conocer de los asuntos relacionados con solicitudes de información en las que haya actuado o tuviere que actuar como órgano obligado, en cuyo caso, excepcionalmente, corresponderá al Comité de Administración asumir las funciones que a este corresponden en la sustanciación y resolución del procedimiento relativo.</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XXI. Interpretar el Reglamento para su exacta observancia;</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XXII. Aplicar las medidas correctivas o de apremio conducentes;</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XXIII. Diseñar y aplicar indicadores para evaluar el desempeño de la Cámara en materia de transparencia, acceso a la información pública y protección de datos personales;</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XXIV. Establecer los indicadores de gestión de órganos y sujetos obligados;</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XXV. Emitir semestralmente un análisis y evaluación de las políticas institucionales de transparencia, acceso a la información pública y protección de datos personales y concluye con recomendaciones generales y específicas;</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XXVI. Hacer del conocimiento de la Contraloría Interna de la Cámara las presuntas infracciones a la Ley, al presente ordenamiento, así como a otras disposiciones legales e informa a la Mesa Directiva, de las resoluciones que al respecto expida, y</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XXVII. Tener acceso, en cualquier momento, a la información reservada o confidencial para determinar su debida clasificación, desclasificación o la procedencia de su acceso.</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t>2. ...</w:t>
      </w:r>
      <w:proofErr w:type="gramEnd"/>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19.</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t>1. ...</w:t>
      </w:r>
      <w:proofErr w:type="gramEnd"/>
    </w:p>
    <w:p w:rsidR="008875A4" w:rsidRPr="005B12D2" w:rsidRDefault="008875A4" w:rsidP="008875A4">
      <w:pPr>
        <w:pStyle w:val="NormalWeb"/>
        <w:rPr>
          <w:rFonts w:ascii="Arial" w:hAnsi="Arial" w:cs="Arial"/>
          <w:sz w:val="22"/>
          <w:szCs w:val="22"/>
        </w:rPr>
      </w:pPr>
      <w:r w:rsidRPr="005B12D2">
        <w:rPr>
          <w:rFonts w:ascii="Arial" w:hAnsi="Arial" w:cs="Arial"/>
          <w:sz w:val="22"/>
          <w:szCs w:val="22"/>
        </w:rPr>
        <w:lastRenderedPageBreak/>
        <w:t>2. El Secretario Técnico del Órgano Rector:</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I. a XV. </w:t>
      </w:r>
      <w:r w:rsidRPr="005B12D2">
        <w:rPr>
          <w:rStyle w:val="negritas"/>
          <w:rFonts w:ascii="Arial" w:hAnsi="Arial" w:cs="Arial"/>
          <w:sz w:val="22"/>
          <w:szCs w:val="22"/>
        </w:rPr>
        <w:t>...</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XVI. Cumple las tareas que le sean encomendadas por los vocales, el Pleno o el Presidente del Órgano Rector;</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XVII. Asiste al órgano Rector en la sustanciación del recurso de revisión, y</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XVIII.</w:t>
      </w:r>
      <w:r w:rsidRPr="005B12D2">
        <w:rPr>
          <w:rStyle w:val="negritas"/>
          <w:rFonts w:ascii="Arial" w:hAnsi="Arial" w:cs="Arial"/>
          <w:sz w:val="22"/>
          <w:szCs w:val="22"/>
        </w:rPr>
        <w:t xml:space="preserve"> </w:t>
      </w:r>
      <w:r w:rsidRPr="005B12D2">
        <w:rPr>
          <w:rFonts w:ascii="Arial" w:hAnsi="Arial" w:cs="Arial"/>
          <w:sz w:val="22"/>
          <w:szCs w:val="22"/>
        </w:rPr>
        <w:t>Realiza las demás tareas que sean necesarias para el cumplimiento de los objetivos del Órgano Rector o inherentes a las responsabilidades de su cargo.</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22.</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t>1. ...</w:t>
      </w:r>
      <w:proofErr w:type="gramEnd"/>
    </w:p>
    <w:p w:rsidR="008875A4" w:rsidRPr="005B12D2" w:rsidRDefault="008875A4" w:rsidP="008875A4">
      <w:pPr>
        <w:pStyle w:val="sangria"/>
        <w:rPr>
          <w:rFonts w:ascii="Arial" w:hAnsi="Arial" w:cs="Arial"/>
          <w:sz w:val="22"/>
          <w:szCs w:val="22"/>
        </w:rPr>
      </w:pPr>
      <w:r w:rsidRPr="005B12D2">
        <w:rPr>
          <w:rFonts w:ascii="Arial" w:hAnsi="Arial" w:cs="Arial"/>
          <w:sz w:val="22"/>
          <w:szCs w:val="22"/>
        </w:rPr>
        <w:t>I. y II.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III. El estado en que se encuentran las denuncias presentadas por el Consejo ante </w:t>
      </w:r>
      <w:r w:rsidRPr="005B12D2">
        <w:rPr>
          <w:rStyle w:val="negritas"/>
          <w:rFonts w:ascii="Arial" w:hAnsi="Arial" w:cs="Arial"/>
          <w:sz w:val="22"/>
          <w:szCs w:val="22"/>
        </w:rPr>
        <w:t xml:space="preserve">la Contraloría Interna, </w:t>
      </w:r>
      <w:r w:rsidRPr="005B12D2">
        <w:rPr>
          <w:rFonts w:ascii="Arial" w:hAnsi="Arial" w:cs="Arial"/>
          <w:sz w:val="22"/>
          <w:szCs w:val="22"/>
        </w:rPr>
        <w:t>y</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IV</w:t>
      </w:r>
      <w:proofErr w:type="gramStart"/>
      <w:r w:rsidRPr="005B12D2">
        <w:rPr>
          <w:rFonts w:ascii="Arial" w:hAnsi="Arial" w:cs="Arial"/>
          <w:sz w:val="22"/>
          <w:szCs w:val="22"/>
        </w:rPr>
        <w:t>. ...</w:t>
      </w:r>
      <w:proofErr w:type="gramEnd"/>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 xml:space="preserve">Artículo 23.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a 3. ...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4. Los consejeros duran en su cargo cinco años, </w:t>
      </w:r>
      <w:r w:rsidRPr="005B12D2">
        <w:rPr>
          <w:rStyle w:val="negritas"/>
          <w:rFonts w:ascii="Arial" w:hAnsi="Arial" w:cs="Arial"/>
          <w:sz w:val="22"/>
          <w:szCs w:val="22"/>
        </w:rPr>
        <w:t xml:space="preserve">sin posibilidad de </w:t>
      </w:r>
      <w:proofErr w:type="spellStart"/>
      <w:r w:rsidRPr="005B12D2">
        <w:rPr>
          <w:rStyle w:val="negritas"/>
          <w:rFonts w:ascii="Arial" w:hAnsi="Arial" w:cs="Arial"/>
          <w:sz w:val="22"/>
          <w:szCs w:val="22"/>
        </w:rPr>
        <w:t>reelección</w:t>
      </w:r>
      <w:proofErr w:type="spellEnd"/>
      <w:r w:rsidRPr="005B12D2">
        <w:rPr>
          <w:rStyle w:val="negritas"/>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 xml:space="preserve">5. El ejercicio del cargo de consejero podrá ser retribuido con una compensación, de acuerdo a los casos atendidos. Para ello, el Comité de Administración deberá establecer los criterios correspondientes y, en su caso, los apoyos administrativos necesarios para el cumplimiento de las funciones de los consejeros.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6. a 10. ...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 xml:space="preserve">Artículo 25.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Corresponde a la Cámara, por conducto de la Comisión de la Función Pública, emitir una convocatoria </w:t>
      </w:r>
      <w:r w:rsidRPr="005B12D2">
        <w:rPr>
          <w:rStyle w:val="negritas"/>
          <w:rFonts w:ascii="Arial" w:hAnsi="Arial" w:cs="Arial"/>
          <w:sz w:val="22"/>
          <w:szCs w:val="22"/>
        </w:rPr>
        <w:t xml:space="preserve">pública abierta a especialistas e investigadores en la materia que se interesen en desempeñar las funciones otorgadas al Consejo, señaladas en el artículo anterior del presente Reglamento.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2. y 3. ...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 xml:space="preserve">Artículo 27. </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t>1. ...</w:t>
      </w:r>
      <w:proofErr w:type="gramEnd"/>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lastRenderedPageBreak/>
        <w:t xml:space="preserve">2. Los aspirantes deben presentar un ensayo inédito por escrito que debe: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I. Ser de un mínimo de </w:t>
      </w:r>
      <w:r w:rsidRPr="005B12D2">
        <w:rPr>
          <w:rStyle w:val="negritas"/>
          <w:rFonts w:ascii="Arial" w:hAnsi="Arial" w:cs="Arial"/>
          <w:sz w:val="22"/>
          <w:szCs w:val="22"/>
        </w:rPr>
        <w:t>quince</w:t>
      </w:r>
      <w:r w:rsidRPr="005B12D2">
        <w:rPr>
          <w:rFonts w:ascii="Arial" w:hAnsi="Arial" w:cs="Arial"/>
          <w:sz w:val="22"/>
          <w:szCs w:val="22"/>
        </w:rPr>
        <w:t xml:space="preserve"> cuartillas, y</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II</w:t>
      </w:r>
      <w:proofErr w:type="gramStart"/>
      <w:r w:rsidRPr="005B12D2">
        <w:rPr>
          <w:rStyle w:val="negritas"/>
          <w:rFonts w:ascii="Arial" w:hAnsi="Arial" w:cs="Arial"/>
          <w:sz w:val="22"/>
          <w:szCs w:val="22"/>
        </w:rPr>
        <w:t>. ...</w:t>
      </w:r>
      <w:proofErr w:type="gramEnd"/>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3. y 4. </w:t>
      </w:r>
      <w:r w:rsidRPr="005B12D2">
        <w:rPr>
          <w:rStyle w:val="negritas"/>
          <w:rFonts w:ascii="Arial" w:hAnsi="Arial" w:cs="Arial"/>
          <w:sz w:val="22"/>
          <w:szCs w:val="22"/>
        </w:rPr>
        <w:t>...</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 xml:space="preserve">Artículo 30.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Para ser Consejero se requiere: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I. y II.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III. Contar con grado de licenciatura en el campo de las ciencias sociales, preferentemente con algún postgrado</w:t>
      </w:r>
      <w:r w:rsidRPr="005B12D2">
        <w:rPr>
          <w:rStyle w:val="negritas"/>
          <w:rFonts w:ascii="Arial" w:hAnsi="Arial" w:cs="Arial"/>
          <w:sz w:val="22"/>
          <w:szCs w:val="22"/>
        </w:rPr>
        <w:t>;</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IV.</w:t>
      </w:r>
      <w:r w:rsidRPr="005B12D2">
        <w:rPr>
          <w:rFonts w:ascii="Arial" w:hAnsi="Arial" w:cs="Arial"/>
          <w:sz w:val="22"/>
          <w:szCs w:val="22"/>
        </w:rPr>
        <w:t xml:space="preserve"> Contar con experiencia mínima comprobable de cinco años en la docencia y/o investigación,</w:t>
      </w:r>
      <w:r w:rsidRPr="005B12D2">
        <w:rPr>
          <w:rStyle w:val="negritas"/>
          <w:rFonts w:ascii="Arial" w:hAnsi="Arial" w:cs="Arial"/>
          <w:sz w:val="22"/>
          <w:szCs w:val="22"/>
        </w:rPr>
        <w:t xml:space="preserve"> </w:t>
      </w:r>
      <w:r w:rsidRPr="005B12D2">
        <w:rPr>
          <w:rFonts w:ascii="Arial" w:hAnsi="Arial" w:cs="Arial"/>
          <w:sz w:val="22"/>
          <w:szCs w:val="22"/>
        </w:rPr>
        <w:t>y</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V. Gozar de prestigio en el medio relacionado con la transparencia y acceso a la información pública.</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32.</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El cargo de Consejero es incompatible con: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 xml:space="preserve">I. (Se deroga)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II. y III. </w:t>
      </w:r>
      <w:r w:rsidRPr="005B12D2">
        <w:rPr>
          <w:rStyle w:val="negritas"/>
          <w:rFonts w:ascii="Arial" w:hAnsi="Arial" w:cs="Arial"/>
          <w:sz w:val="22"/>
          <w:szCs w:val="22"/>
        </w:rPr>
        <w:t>...</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46.</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La Cámara está obligada a </w:t>
      </w:r>
      <w:r w:rsidRPr="005B12D2">
        <w:rPr>
          <w:rStyle w:val="negritas"/>
          <w:rFonts w:ascii="Arial" w:hAnsi="Arial" w:cs="Arial"/>
          <w:sz w:val="22"/>
          <w:szCs w:val="22"/>
        </w:rPr>
        <w:t>publicar</w:t>
      </w:r>
      <w:r w:rsidRPr="005B12D2">
        <w:rPr>
          <w:rFonts w:ascii="Arial" w:hAnsi="Arial" w:cs="Arial"/>
          <w:sz w:val="22"/>
          <w:szCs w:val="22"/>
        </w:rPr>
        <w:t xml:space="preserve"> información actualizada sobre:</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I. a IX. ...</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X. Presupuesto asignado e informe </w:t>
      </w:r>
      <w:r w:rsidRPr="005B12D2">
        <w:rPr>
          <w:rStyle w:val="negritas"/>
          <w:rFonts w:ascii="Arial" w:hAnsi="Arial" w:cs="Arial"/>
          <w:sz w:val="22"/>
          <w:szCs w:val="22"/>
        </w:rPr>
        <w:t xml:space="preserve">semestral del ejercicio del gasto, debidamente desglosado por partidas y </w:t>
      </w:r>
      <w:proofErr w:type="gramStart"/>
      <w:r w:rsidRPr="005B12D2">
        <w:rPr>
          <w:rStyle w:val="negritas"/>
          <w:rFonts w:ascii="Arial" w:hAnsi="Arial" w:cs="Arial"/>
          <w:sz w:val="22"/>
          <w:szCs w:val="22"/>
        </w:rPr>
        <w:t>montos</w:t>
      </w:r>
      <w:r w:rsidRPr="005B12D2">
        <w:rPr>
          <w:rFonts w:ascii="Arial" w:hAnsi="Arial" w:cs="Arial"/>
          <w:sz w:val="22"/>
          <w:szCs w:val="22"/>
        </w:rPr>
        <w:t xml:space="preserve"> ;</w:t>
      </w:r>
      <w:proofErr w:type="gramEnd"/>
    </w:p>
    <w:p w:rsidR="008875A4" w:rsidRPr="005B12D2" w:rsidRDefault="008875A4" w:rsidP="008875A4">
      <w:pPr>
        <w:pStyle w:val="sangria"/>
        <w:rPr>
          <w:rFonts w:ascii="Arial" w:hAnsi="Arial" w:cs="Arial"/>
          <w:sz w:val="22"/>
          <w:szCs w:val="22"/>
        </w:rPr>
      </w:pPr>
      <w:r w:rsidRPr="005B12D2">
        <w:rPr>
          <w:rFonts w:ascii="Arial" w:hAnsi="Arial" w:cs="Arial"/>
          <w:sz w:val="22"/>
          <w:szCs w:val="22"/>
        </w:rPr>
        <w:t xml:space="preserve">XI. </w:t>
      </w:r>
      <w:r w:rsidRPr="005B12D2">
        <w:rPr>
          <w:rStyle w:val="negritas"/>
          <w:rFonts w:ascii="Arial" w:hAnsi="Arial" w:cs="Arial"/>
          <w:sz w:val="22"/>
          <w:szCs w:val="22"/>
        </w:rPr>
        <w:t>El Programa de Trabajo de la Contraloría Interna y</w:t>
      </w:r>
      <w:r w:rsidRPr="005B12D2">
        <w:rPr>
          <w:rFonts w:ascii="Arial" w:hAnsi="Arial" w:cs="Arial"/>
          <w:sz w:val="22"/>
          <w:szCs w:val="22"/>
        </w:rPr>
        <w:t xml:space="preserve"> el resultado de las auditorías al ejercicio presupuestal de cada órgano y sujeto obligados;</w:t>
      </w:r>
    </w:p>
    <w:p w:rsidR="008875A4" w:rsidRPr="005B12D2" w:rsidRDefault="008875A4" w:rsidP="008875A4">
      <w:pPr>
        <w:pStyle w:val="sangria"/>
        <w:rPr>
          <w:rFonts w:ascii="Arial" w:hAnsi="Arial" w:cs="Arial"/>
          <w:sz w:val="22"/>
          <w:szCs w:val="22"/>
        </w:rPr>
      </w:pPr>
      <w:r w:rsidRPr="005B12D2">
        <w:rPr>
          <w:rFonts w:ascii="Arial" w:hAnsi="Arial" w:cs="Arial"/>
          <w:sz w:val="22"/>
          <w:szCs w:val="22"/>
        </w:rPr>
        <w:t>XII. a XVII.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69.</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proofErr w:type="gramStart"/>
      <w:r w:rsidRPr="005B12D2">
        <w:rPr>
          <w:rFonts w:ascii="Arial" w:hAnsi="Arial" w:cs="Arial"/>
          <w:sz w:val="22"/>
          <w:szCs w:val="22"/>
        </w:rPr>
        <w:t>1. ...</w:t>
      </w:r>
      <w:proofErr w:type="gramEnd"/>
    </w:p>
    <w:p w:rsidR="008875A4" w:rsidRPr="005B12D2" w:rsidRDefault="008875A4" w:rsidP="008875A4">
      <w:pPr>
        <w:pStyle w:val="sangria"/>
        <w:rPr>
          <w:rFonts w:ascii="Arial" w:hAnsi="Arial" w:cs="Arial"/>
          <w:sz w:val="22"/>
          <w:szCs w:val="22"/>
        </w:rPr>
      </w:pPr>
      <w:r w:rsidRPr="005B12D2">
        <w:rPr>
          <w:rFonts w:ascii="Arial" w:hAnsi="Arial" w:cs="Arial"/>
          <w:sz w:val="22"/>
          <w:szCs w:val="22"/>
        </w:rPr>
        <w:lastRenderedPageBreak/>
        <w:t>I. a III.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2. Toda solicitud de información debe contener:</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I. Nombre del solicitante;</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II. Domicilio completo del solicitante;</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III. La descripción clara y precisa de los documentos que solicita;</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IV. Cualquier otro dato que facilite la búsqueda de información, y</w:t>
      </w:r>
      <w:r w:rsidRPr="005B12D2">
        <w:rPr>
          <w:rFonts w:ascii="Arial" w:hAnsi="Arial" w:cs="Arial"/>
          <w:sz w:val="22"/>
          <w:szCs w:val="22"/>
        </w:rPr>
        <w:t xml:space="preserve"> </w:t>
      </w:r>
    </w:p>
    <w:p w:rsidR="008875A4" w:rsidRPr="005B12D2" w:rsidRDefault="008875A4" w:rsidP="008875A4">
      <w:pPr>
        <w:pStyle w:val="sangria"/>
        <w:rPr>
          <w:rFonts w:ascii="Arial" w:hAnsi="Arial" w:cs="Arial"/>
          <w:sz w:val="22"/>
          <w:szCs w:val="22"/>
        </w:rPr>
      </w:pPr>
      <w:r w:rsidRPr="005B12D2">
        <w:rPr>
          <w:rStyle w:val="negritas"/>
          <w:rFonts w:ascii="Arial" w:hAnsi="Arial" w:cs="Arial"/>
          <w:sz w:val="22"/>
          <w:szCs w:val="22"/>
        </w:rPr>
        <w:t>V. La modalidad en la que prefiera se otorgue el acceso a la información, la cual podrá ser verbalmente, siempre y cuando sea para fines de orientación, a través de consulta directa, copias simples o certificadas, correo electrónico u otro tipo de medio. No obstante ello, el acceso se dará solamente en la forma en que lo permita el documento de que se trate.</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81.</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1. La resolución que emite el Órgano Rector debe notificarse al interesado, dentro del plazo que tiene la Unidad para </w:t>
      </w:r>
      <w:r w:rsidRPr="005B12D2">
        <w:rPr>
          <w:rStyle w:val="negritas"/>
          <w:rFonts w:ascii="Arial" w:hAnsi="Arial" w:cs="Arial"/>
          <w:sz w:val="22"/>
          <w:szCs w:val="22"/>
        </w:rPr>
        <w:t xml:space="preserve">atender la </w:t>
      </w:r>
      <w:proofErr w:type="gramStart"/>
      <w:r w:rsidRPr="005B12D2">
        <w:rPr>
          <w:rStyle w:val="negritas"/>
          <w:rFonts w:ascii="Arial" w:hAnsi="Arial" w:cs="Arial"/>
          <w:sz w:val="22"/>
          <w:szCs w:val="22"/>
        </w:rPr>
        <w:t>solicitud</w:t>
      </w:r>
      <w:r w:rsidRPr="005B12D2">
        <w:rPr>
          <w:rFonts w:ascii="Arial" w:hAnsi="Arial" w:cs="Arial"/>
          <w:sz w:val="22"/>
          <w:szCs w:val="22"/>
        </w:rPr>
        <w:t xml:space="preserve"> ;</w:t>
      </w:r>
      <w:proofErr w:type="gramEnd"/>
      <w:r w:rsidRPr="005B12D2">
        <w:rPr>
          <w:rFonts w:ascii="Arial" w:hAnsi="Arial" w:cs="Arial"/>
          <w:sz w:val="22"/>
          <w:szCs w:val="22"/>
        </w:rPr>
        <w:t xml:space="preserve"> en caso de ser negativa, la Unidad está obligada </w:t>
      </w:r>
      <w:proofErr w:type="spellStart"/>
      <w:r w:rsidRPr="005B12D2">
        <w:rPr>
          <w:rFonts w:ascii="Arial" w:hAnsi="Arial" w:cs="Arial"/>
          <w:sz w:val="22"/>
          <w:szCs w:val="22"/>
        </w:rPr>
        <w:t>a</w:t>
      </w:r>
      <w:proofErr w:type="spellEnd"/>
      <w:r w:rsidRPr="005B12D2">
        <w:rPr>
          <w:rFonts w:ascii="Arial" w:hAnsi="Arial" w:cs="Arial"/>
          <w:sz w:val="22"/>
          <w:szCs w:val="22"/>
        </w:rPr>
        <w:t xml:space="preserve"> indicar al solicitante que puede interponer un recurso </w:t>
      </w:r>
      <w:r w:rsidRPr="005B12D2">
        <w:rPr>
          <w:rStyle w:val="negritas"/>
          <w:rFonts w:ascii="Arial" w:hAnsi="Arial" w:cs="Arial"/>
          <w:sz w:val="22"/>
          <w:szCs w:val="22"/>
        </w:rPr>
        <w:t>de reconsideración</w:t>
      </w:r>
      <w:r w:rsidRPr="005B12D2">
        <w:rPr>
          <w:rFonts w:ascii="Arial" w:hAnsi="Arial" w:cs="Arial"/>
          <w:sz w:val="22"/>
          <w:szCs w:val="22"/>
        </w:rPr>
        <w:t xml:space="preserve"> contra la resolución ante el Consejo.</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Artículo 141.</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1. Conforme a lo dispuesto por el artículo 61 de la Ley Federal de Transparencia y Acceso a la Información Pública Gubernamental, en lo no previsto por este Reglamento serán aplicables los principios y plazos establecidos en esa Ley.</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SE DEROGA EL ARTÍCULO SEXTO TRANSITORIO DEL DECRETO POR EL QUE SE EXPIDE EL REGLAMENTO DE LA TRANSPARENCIA, ACCESO A LA INFORMACIÓN PÚBLICA Y PROTECCIÓN DE DATOS PERSONALES DE LA CÁMARA DE DIPUTADOS, PUBLICADO EN EL DIARIO OFICIAL DE LA FEDERACIÓN EL 6 DE ABRIL DE 2009.</w:t>
      </w:r>
      <w:r w:rsidRPr="005B12D2">
        <w:rPr>
          <w:rFonts w:ascii="Arial" w:hAnsi="Arial" w:cs="Arial"/>
          <w:sz w:val="22"/>
          <w:szCs w:val="22"/>
        </w:rPr>
        <w:t xml:space="preserve"> </w:t>
      </w:r>
    </w:p>
    <w:p w:rsidR="008875A4" w:rsidRPr="005B12D2" w:rsidRDefault="008875A4" w:rsidP="008875A4">
      <w:pPr>
        <w:pStyle w:val="centrar"/>
        <w:rPr>
          <w:rFonts w:ascii="Arial" w:hAnsi="Arial" w:cs="Arial"/>
          <w:sz w:val="22"/>
          <w:szCs w:val="22"/>
        </w:rPr>
      </w:pPr>
      <w:r w:rsidRPr="005B12D2">
        <w:rPr>
          <w:rFonts w:ascii="Arial" w:hAnsi="Arial" w:cs="Arial"/>
          <w:sz w:val="22"/>
          <w:szCs w:val="22"/>
        </w:rPr>
        <w:t>TRANSITORIOS</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Primero. </w:t>
      </w:r>
      <w:proofErr w:type="gramStart"/>
      <w:r w:rsidRPr="005B12D2">
        <w:rPr>
          <w:rFonts w:ascii="Arial" w:hAnsi="Arial" w:cs="Arial"/>
          <w:sz w:val="22"/>
          <w:szCs w:val="22"/>
        </w:rPr>
        <w:t>a</w:t>
      </w:r>
      <w:proofErr w:type="gramEnd"/>
      <w:r w:rsidRPr="005B12D2">
        <w:rPr>
          <w:rFonts w:ascii="Arial" w:hAnsi="Arial" w:cs="Arial"/>
          <w:sz w:val="22"/>
          <w:szCs w:val="22"/>
        </w:rPr>
        <w:t xml:space="preserve"> Quinto.</w:t>
      </w:r>
      <w:r w:rsidRPr="005B12D2">
        <w:rPr>
          <w:rStyle w:val="negritas"/>
          <w:rFonts w:ascii="Arial" w:hAnsi="Arial" w:cs="Arial"/>
          <w:sz w:val="22"/>
          <w:szCs w:val="22"/>
        </w:rPr>
        <w:t xml:space="preserve"> ...</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proofErr w:type="gramStart"/>
      <w:r w:rsidRPr="005B12D2">
        <w:rPr>
          <w:rStyle w:val="negritas"/>
          <w:rFonts w:ascii="Arial" w:hAnsi="Arial" w:cs="Arial"/>
          <w:sz w:val="22"/>
          <w:szCs w:val="22"/>
        </w:rPr>
        <w:t>Sexto</w:t>
      </w:r>
      <w:r w:rsidRPr="005B12D2">
        <w:rPr>
          <w:rFonts w:ascii="Arial" w:hAnsi="Arial" w:cs="Arial"/>
          <w:sz w:val="22"/>
          <w:szCs w:val="22"/>
        </w:rPr>
        <w:t xml:space="preserve"> .</w:t>
      </w:r>
      <w:proofErr w:type="gramEnd"/>
      <w:r w:rsidRPr="005B12D2">
        <w:rPr>
          <w:rStyle w:val="negritas"/>
          <w:rFonts w:ascii="Arial" w:hAnsi="Arial" w:cs="Arial"/>
          <w:sz w:val="22"/>
          <w:szCs w:val="22"/>
        </w:rPr>
        <w:t xml:space="preserve"> (Se deroga.)</w:t>
      </w:r>
      <w:r w:rsidRPr="005B12D2">
        <w:rPr>
          <w:rFonts w:ascii="Arial" w:hAnsi="Arial" w:cs="Arial"/>
          <w:sz w:val="22"/>
          <w:szCs w:val="22"/>
        </w:rPr>
        <w:t xml:space="preserve"> </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 xml:space="preserve">Séptimo. </w:t>
      </w:r>
      <w:proofErr w:type="gramStart"/>
      <w:r w:rsidRPr="005B12D2">
        <w:rPr>
          <w:rFonts w:ascii="Arial" w:hAnsi="Arial" w:cs="Arial"/>
          <w:sz w:val="22"/>
          <w:szCs w:val="22"/>
        </w:rPr>
        <w:t>a</w:t>
      </w:r>
      <w:proofErr w:type="gramEnd"/>
      <w:r w:rsidRPr="005B12D2">
        <w:rPr>
          <w:rFonts w:ascii="Arial" w:hAnsi="Arial" w:cs="Arial"/>
          <w:sz w:val="22"/>
          <w:szCs w:val="22"/>
        </w:rPr>
        <w:t xml:space="preserve"> Décimo Primero.</w:t>
      </w:r>
      <w:r w:rsidRPr="005B12D2">
        <w:rPr>
          <w:rStyle w:val="negritas"/>
          <w:rFonts w:ascii="Arial" w:hAnsi="Arial" w:cs="Arial"/>
          <w:sz w:val="22"/>
          <w:szCs w:val="22"/>
        </w:rPr>
        <w:t xml:space="preserve"> ...</w:t>
      </w:r>
      <w:r w:rsidRPr="005B12D2">
        <w:rPr>
          <w:rFonts w:ascii="Arial" w:hAnsi="Arial" w:cs="Arial"/>
          <w:sz w:val="22"/>
          <w:szCs w:val="22"/>
        </w:rPr>
        <w:t xml:space="preserve"> </w:t>
      </w:r>
    </w:p>
    <w:p w:rsidR="008875A4" w:rsidRPr="005B12D2" w:rsidRDefault="008875A4" w:rsidP="008875A4">
      <w:pPr>
        <w:pStyle w:val="centrar"/>
        <w:rPr>
          <w:rFonts w:ascii="Arial" w:hAnsi="Arial" w:cs="Arial"/>
          <w:sz w:val="22"/>
          <w:szCs w:val="22"/>
        </w:rPr>
      </w:pPr>
      <w:r w:rsidRPr="005B12D2">
        <w:rPr>
          <w:rFonts w:ascii="Arial" w:hAnsi="Arial" w:cs="Arial"/>
          <w:sz w:val="22"/>
          <w:szCs w:val="22"/>
        </w:rPr>
        <w:t>Transitorios</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t>Primero.</w:t>
      </w:r>
      <w:r w:rsidRPr="005B12D2">
        <w:rPr>
          <w:rFonts w:ascii="Arial" w:hAnsi="Arial" w:cs="Arial"/>
          <w:sz w:val="22"/>
          <w:szCs w:val="22"/>
        </w:rPr>
        <w:t xml:space="preserve"> El presente decreto entrará en vigor el día de su publicación en el Diario Oficial de la Federación.</w:t>
      </w:r>
    </w:p>
    <w:p w:rsidR="008875A4" w:rsidRPr="005B12D2" w:rsidRDefault="008875A4" w:rsidP="008875A4">
      <w:pPr>
        <w:pStyle w:val="NormalWeb"/>
        <w:rPr>
          <w:rFonts w:ascii="Arial" w:hAnsi="Arial" w:cs="Arial"/>
          <w:sz w:val="22"/>
          <w:szCs w:val="22"/>
        </w:rPr>
      </w:pPr>
      <w:r w:rsidRPr="005B12D2">
        <w:rPr>
          <w:rStyle w:val="negritas"/>
          <w:rFonts w:ascii="Arial" w:hAnsi="Arial" w:cs="Arial"/>
          <w:sz w:val="22"/>
          <w:szCs w:val="22"/>
        </w:rPr>
        <w:lastRenderedPageBreak/>
        <w:t>Segundo.</w:t>
      </w:r>
      <w:r w:rsidRPr="005B12D2">
        <w:rPr>
          <w:rFonts w:ascii="Arial" w:hAnsi="Arial" w:cs="Arial"/>
          <w:sz w:val="22"/>
          <w:szCs w:val="22"/>
        </w:rPr>
        <w:t xml:space="preserve"> Una vez que haya entrado en vigor el presente Decreto, la Junta de Coordinación Política de la Cámara de Diputados, por única vez, propondrá para su elección al Pleno en un solo acto, una lista de tres personas que reúnan los requisitos que el Reglamento establece para la elección de los Consejeros fundadores del Consejo.</w:t>
      </w:r>
    </w:p>
    <w:p w:rsidR="008875A4" w:rsidRPr="005B12D2" w:rsidRDefault="008875A4" w:rsidP="008875A4">
      <w:pPr>
        <w:pStyle w:val="NormalWeb"/>
        <w:rPr>
          <w:rFonts w:ascii="Arial" w:hAnsi="Arial" w:cs="Arial"/>
          <w:sz w:val="22"/>
          <w:szCs w:val="22"/>
        </w:rPr>
      </w:pPr>
      <w:r w:rsidRPr="005B12D2">
        <w:rPr>
          <w:rFonts w:ascii="Arial" w:hAnsi="Arial" w:cs="Arial"/>
          <w:sz w:val="22"/>
          <w:szCs w:val="22"/>
        </w:rPr>
        <w:t>Así lo resolvieron los integrantes de la Comisión de Régimen, Reglamentos y Prácticas Parlamentarias en su reunión extraordinaria del trece de diciembre de dos mil once.</w:t>
      </w:r>
    </w:p>
    <w:p w:rsidR="008875A4" w:rsidRPr="005B12D2" w:rsidRDefault="008875A4" w:rsidP="008875A4">
      <w:pPr>
        <w:pStyle w:val="firmas"/>
        <w:rPr>
          <w:rFonts w:ascii="Arial" w:hAnsi="Arial" w:cs="Arial"/>
        </w:rPr>
      </w:pPr>
      <w:r w:rsidRPr="005B12D2">
        <w:rPr>
          <w:rStyle w:val="negritas"/>
          <w:rFonts w:ascii="Arial" w:hAnsi="Arial" w:cs="Arial"/>
        </w:rPr>
        <w:t>Notas</w:t>
      </w:r>
      <w:r w:rsidRPr="005B12D2">
        <w:rPr>
          <w:rFonts w:ascii="Arial" w:hAnsi="Arial" w:cs="Arial"/>
        </w:rPr>
        <w:t xml:space="preserve"> </w:t>
      </w:r>
    </w:p>
    <w:p w:rsidR="008875A4" w:rsidRPr="005B12D2" w:rsidRDefault="008875A4" w:rsidP="008875A4">
      <w:pPr>
        <w:pStyle w:val="firmas"/>
        <w:rPr>
          <w:rFonts w:ascii="Arial" w:hAnsi="Arial" w:cs="Arial"/>
        </w:rPr>
      </w:pPr>
      <w:r w:rsidRPr="005B12D2">
        <w:rPr>
          <w:rFonts w:ascii="Arial" w:hAnsi="Arial" w:cs="Arial"/>
        </w:rPr>
        <w:t xml:space="preserve">1 Exposición de motivos del Proyecto de Presupuesto de Egresos para el Ejercicio Fiscal de 2010. p. 69. </w:t>
      </w:r>
    </w:p>
    <w:p w:rsidR="008875A4" w:rsidRPr="005B12D2" w:rsidRDefault="008875A4" w:rsidP="008875A4">
      <w:pPr>
        <w:pStyle w:val="firmas"/>
        <w:rPr>
          <w:rFonts w:ascii="Arial" w:hAnsi="Arial" w:cs="Arial"/>
        </w:rPr>
      </w:pPr>
      <w:r w:rsidRPr="005B12D2">
        <w:rPr>
          <w:rFonts w:ascii="Arial" w:hAnsi="Arial" w:cs="Arial"/>
        </w:rPr>
        <w:t>2 Acta de la Sesión Extraordinaria de fecha 23 de febrero de 2011, que contiene los Lineamientos de Racionalidad y Austeridad Presupuestaria, correspondiente a la Cámara de Diputados.</w:t>
      </w:r>
    </w:p>
    <w:p w:rsidR="008875A4" w:rsidRPr="005B12D2" w:rsidRDefault="008875A4" w:rsidP="008875A4">
      <w:pPr>
        <w:pStyle w:val="firmas"/>
        <w:rPr>
          <w:rFonts w:ascii="Arial" w:hAnsi="Arial" w:cs="Arial"/>
        </w:rPr>
      </w:pPr>
      <w:r w:rsidRPr="005B12D2">
        <w:rPr>
          <w:rStyle w:val="negritas"/>
          <w:rFonts w:ascii="Arial" w:hAnsi="Arial" w:cs="Arial"/>
        </w:rPr>
        <w:t>Diputados:</w:t>
      </w:r>
      <w:r w:rsidRPr="005B12D2">
        <w:rPr>
          <w:rFonts w:ascii="Arial" w:hAnsi="Arial" w:cs="Arial"/>
        </w:rPr>
        <w:t xml:space="preserve"> Felipe Solís Acero (rúbrica), presidente; José Antonio </w:t>
      </w:r>
      <w:proofErr w:type="spellStart"/>
      <w:r w:rsidRPr="005B12D2">
        <w:rPr>
          <w:rFonts w:ascii="Arial" w:hAnsi="Arial" w:cs="Arial"/>
        </w:rPr>
        <w:t>Arámbula</w:t>
      </w:r>
      <w:proofErr w:type="spellEnd"/>
      <w:r w:rsidRPr="005B12D2">
        <w:rPr>
          <w:rFonts w:ascii="Arial" w:hAnsi="Arial" w:cs="Arial"/>
        </w:rPr>
        <w:t xml:space="preserve"> López, Emiliano Velázquez Esquivel (rúbrica en abstención), secretarios; Julio Castellanos Ramírez (rúbrica), Agustín Carlos Castilla Marroquín (rúbrica), Sami David </w:t>
      </w:r>
      <w:proofErr w:type="spellStart"/>
      <w:r w:rsidRPr="005B12D2">
        <w:rPr>
          <w:rFonts w:ascii="Arial" w:hAnsi="Arial" w:cs="Arial"/>
        </w:rPr>
        <w:t>David</w:t>
      </w:r>
      <w:proofErr w:type="spellEnd"/>
      <w:r w:rsidRPr="005B12D2">
        <w:rPr>
          <w:rFonts w:ascii="Arial" w:hAnsi="Arial" w:cs="Arial"/>
        </w:rPr>
        <w:t xml:space="preserve">, Heliodoro Díaz </w:t>
      </w:r>
      <w:proofErr w:type="spellStart"/>
      <w:r w:rsidRPr="005B12D2">
        <w:rPr>
          <w:rFonts w:ascii="Arial" w:hAnsi="Arial" w:cs="Arial"/>
        </w:rPr>
        <w:t>Escárraga</w:t>
      </w:r>
      <w:proofErr w:type="spellEnd"/>
      <w:r w:rsidRPr="005B12D2">
        <w:rPr>
          <w:rFonts w:ascii="Arial" w:hAnsi="Arial" w:cs="Arial"/>
        </w:rPr>
        <w:t xml:space="preserve"> (rúbrica), Luis Felipe </w:t>
      </w:r>
      <w:proofErr w:type="spellStart"/>
      <w:r w:rsidRPr="005B12D2">
        <w:rPr>
          <w:rFonts w:ascii="Arial" w:hAnsi="Arial" w:cs="Arial"/>
        </w:rPr>
        <w:t>Eguía</w:t>
      </w:r>
      <w:proofErr w:type="spellEnd"/>
      <w:r w:rsidRPr="005B12D2">
        <w:rPr>
          <w:rFonts w:ascii="Arial" w:hAnsi="Arial" w:cs="Arial"/>
        </w:rPr>
        <w:t xml:space="preserve"> Pérez, Carlos Alberto </w:t>
      </w:r>
      <w:proofErr w:type="spellStart"/>
      <w:r w:rsidRPr="005B12D2">
        <w:rPr>
          <w:rFonts w:ascii="Arial" w:hAnsi="Arial" w:cs="Arial"/>
        </w:rPr>
        <w:t>Ezeta</w:t>
      </w:r>
      <w:proofErr w:type="spellEnd"/>
      <w:r w:rsidRPr="005B12D2">
        <w:rPr>
          <w:rFonts w:ascii="Arial" w:hAnsi="Arial" w:cs="Arial"/>
        </w:rPr>
        <w:t xml:space="preserve"> Salcedo (rúbrica), Héctor Guevara Ramírez, Adriana de Lourdes Hinojosa Céspedes (rúbrica), José Luis Jaime Correa (rúbrica), José Ricardo López Pescador (rúbrica), Gastón </w:t>
      </w:r>
      <w:proofErr w:type="spellStart"/>
      <w:r w:rsidRPr="005B12D2">
        <w:rPr>
          <w:rFonts w:ascii="Arial" w:hAnsi="Arial" w:cs="Arial"/>
        </w:rPr>
        <w:t>Luken</w:t>
      </w:r>
      <w:proofErr w:type="spellEnd"/>
      <w:r w:rsidRPr="005B12D2">
        <w:rPr>
          <w:rFonts w:ascii="Arial" w:hAnsi="Arial" w:cs="Arial"/>
        </w:rPr>
        <w:t xml:space="preserve"> Garza (rúbrica), </w:t>
      </w:r>
      <w:proofErr w:type="spellStart"/>
      <w:r w:rsidRPr="005B12D2">
        <w:rPr>
          <w:rFonts w:ascii="Arial" w:hAnsi="Arial" w:cs="Arial"/>
        </w:rPr>
        <w:t>Rosalina</w:t>
      </w:r>
      <w:proofErr w:type="spellEnd"/>
      <w:r w:rsidRPr="005B12D2">
        <w:rPr>
          <w:rFonts w:ascii="Arial" w:hAnsi="Arial" w:cs="Arial"/>
        </w:rPr>
        <w:t xml:space="preserve"> </w:t>
      </w:r>
      <w:proofErr w:type="spellStart"/>
      <w:r w:rsidRPr="005B12D2">
        <w:rPr>
          <w:rFonts w:ascii="Arial" w:hAnsi="Arial" w:cs="Arial"/>
        </w:rPr>
        <w:t>Mazari</w:t>
      </w:r>
      <w:proofErr w:type="spellEnd"/>
      <w:r w:rsidRPr="005B12D2">
        <w:rPr>
          <w:rFonts w:ascii="Arial" w:hAnsi="Arial" w:cs="Arial"/>
        </w:rPr>
        <w:t xml:space="preserve"> Espín, Jorge Carlos Ramírez Marín, Reginaldo Rivera de la Torre, Frida Celeste Rosas Peralta, González Pedro Vázquez (rúbrica).</w:t>
      </w:r>
    </w:p>
    <w:bookmarkEnd w:id="0"/>
    <w:p w:rsidR="008068BD" w:rsidRPr="005B12D2" w:rsidRDefault="00973316"/>
    <w:sectPr w:rsidR="008068BD" w:rsidRPr="005B12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A4"/>
    <w:rsid w:val="005B12D2"/>
    <w:rsid w:val="008875A4"/>
    <w:rsid w:val="0097331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75A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875A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8875A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875A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875A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875A4"/>
    <w:rPr>
      <w:b/>
      <w:bCs/>
    </w:rPr>
  </w:style>
  <w:style w:type="character" w:customStyle="1" w:styleId="superscript">
    <w:name w:val="superscript"/>
    <w:basedOn w:val="Fuentedeprrafopredeter"/>
    <w:rsid w:val="008875A4"/>
    <w:rPr>
      <w:b/>
      <w:bCs/>
      <w:sz w:val="17"/>
      <w:szCs w:val="17"/>
      <w:vertAlign w:val="superscript"/>
    </w:rPr>
  </w:style>
  <w:style w:type="character" w:customStyle="1" w:styleId="italicas">
    <w:name w:val="italicas"/>
    <w:basedOn w:val="Fuentedeprrafopredeter"/>
    <w:rsid w:val="008875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75A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875A4"/>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8875A4"/>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875A4"/>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875A4"/>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875A4"/>
    <w:rPr>
      <w:b/>
      <w:bCs/>
    </w:rPr>
  </w:style>
  <w:style w:type="character" w:customStyle="1" w:styleId="superscript">
    <w:name w:val="superscript"/>
    <w:basedOn w:val="Fuentedeprrafopredeter"/>
    <w:rsid w:val="008875A4"/>
    <w:rPr>
      <w:b/>
      <w:bCs/>
      <w:sz w:val="17"/>
      <w:szCs w:val="17"/>
      <w:vertAlign w:val="superscript"/>
    </w:rPr>
  </w:style>
  <w:style w:type="character" w:customStyle="1" w:styleId="italicas">
    <w:name w:val="italicas"/>
    <w:basedOn w:val="Fuentedeprrafopredeter"/>
    <w:rsid w:val="00887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27872">
      <w:bodyDiv w:val="1"/>
      <w:marLeft w:val="150"/>
      <w:marRight w:val="150"/>
      <w:marTop w:val="0"/>
      <w:marBottom w:val="0"/>
      <w:divBdr>
        <w:top w:val="none" w:sz="0" w:space="0" w:color="auto"/>
        <w:left w:val="none" w:sz="0" w:space="0" w:color="auto"/>
        <w:bottom w:val="none" w:sz="0" w:space="0" w:color="auto"/>
        <w:right w:val="none" w:sz="0" w:space="0" w:color="auto"/>
      </w:divBdr>
      <w:divsChild>
        <w:div w:id="1943368902">
          <w:marLeft w:val="0"/>
          <w:marRight w:val="0"/>
          <w:marTop w:val="0"/>
          <w:marBottom w:val="0"/>
          <w:divBdr>
            <w:top w:val="none" w:sz="0" w:space="0" w:color="auto"/>
            <w:left w:val="none" w:sz="0" w:space="0" w:color="auto"/>
            <w:bottom w:val="none" w:sz="0" w:space="0" w:color="auto"/>
            <w:right w:val="none" w:sz="0" w:space="0" w:color="auto"/>
          </w:divBdr>
          <w:divsChild>
            <w:div w:id="11881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3911</Words>
  <Characters>21515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2012-02-13T19:24:00Z</dcterms:created>
  <dcterms:modified xsi:type="dcterms:W3CDTF">2012-02-13T19:24:00Z</dcterms:modified>
</cp:coreProperties>
</file>