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1F" w:rsidRPr="0095251F" w:rsidRDefault="0095251F" w:rsidP="0095251F">
      <w:pPr>
        <w:pStyle w:val="versales"/>
        <w:rPr>
          <w:rFonts w:ascii="Arial" w:hAnsi="Arial" w:cs="Arial"/>
          <w:color w:val="auto"/>
        </w:rPr>
      </w:pPr>
      <w:bookmarkStart w:id="0" w:name="Iniciativa7"/>
      <w:bookmarkStart w:id="1" w:name="_GoBack"/>
      <w:r w:rsidRPr="0095251F">
        <w:rPr>
          <w:rFonts w:ascii="Arial" w:hAnsi="Arial" w:cs="Arial"/>
          <w:color w:val="auto"/>
        </w:rPr>
        <w:t xml:space="preserve">Que reforma y adiciona diversas disposiciones de las Leyes de Ciencia y Tecnología, y del Impuesto sobre la Renta, a cargo del diputado Gerardo del Mazo Morales, del Grupo Parlamentario de Nueva Alianza </w:t>
      </w:r>
    </w:p>
    <w:bookmarkEnd w:id="1"/>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Planteamiento del Problema</w:t>
      </w:r>
      <w:r w:rsidRPr="0095251F">
        <w:rPr>
          <w:rFonts w:ascii="Arial" w:hAnsi="Arial" w:cs="Arial"/>
          <w:sz w:val="22"/>
          <w:szCs w:val="22"/>
        </w:rPr>
        <w:t xml:space="preserve"> </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Los estímulos fiscales son instrumentos de vital importancia con los que cuenta el gobierno federal para dirigir la economía del país hacia aquellas áreas que desea impulsar o promover. Por otra parte, los créditos fiscales son un monto de dinero a favor del contribuyente que se puede deducir del débito fiscal para determinar el monto que debe pagar al Estado.</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 xml:space="preserve">En este sentido, el uso de estos instrumentos fiscales están orientados a promover los esfuerzos de los distintos sectores de la producción, los cuales pueden dirigirse desde fomentar la investigación y desarrollo de tecnología, proyectos de cinematografía, fideicomisos y desarrollos inmobiliarios hasta el sector del transporte público y privado, entre otros, a través de ciertos beneficios que van desde una deducción, entregas de dinero o bien, </w:t>
      </w:r>
      <w:proofErr w:type="spellStart"/>
      <w:r w:rsidRPr="0095251F">
        <w:rPr>
          <w:rFonts w:ascii="Arial" w:hAnsi="Arial" w:cs="Arial"/>
          <w:sz w:val="22"/>
          <w:szCs w:val="22"/>
        </w:rPr>
        <w:t>acreditamientos</w:t>
      </w:r>
      <w:proofErr w:type="spellEnd"/>
      <w:r w:rsidRPr="0095251F">
        <w:rPr>
          <w:rFonts w:ascii="Arial" w:hAnsi="Arial" w:cs="Arial"/>
          <w:sz w:val="22"/>
          <w:szCs w:val="22"/>
        </w:rPr>
        <w:t>.</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La Ley de Ciencia y Tecnología actualmente prevé un estímulo fiscal por gastos e inversiones en Investigación y Desarrollo de Tecnología (IDT), y está fundamentado en el artículo 29 de la Ley de Ciencia y Tecnología y correlacionado con el artículo 219 de la Ley del Impuesto sobre la Renta, este último derogado el 7 de diciembre de 2009, hecho que requiere ser actualizado por una reforma a la Ley de Ciencia y Tecnología y una adición a la Ley del Impuesto sobre la Renta.</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En cuanto a los antecedentes del otorgamiento de este estímulo por parte del Consejo Nacional de Ciencia y Tecnología (</w:t>
      </w:r>
      <w:proofErr w:type="spellStart"/>
      <w:r w:rsidRPr="0095251F">
        <w:rPr>
          <w:rFonts w:ascii="Arial" w:hAnsi="Arial" w:cs="Arial"/>
          <w:sz w:val="22"/>
          <w:szCs w:val="22"/>
        </w:rPr>
        <w:t>Conacyt</w:t>
      </w:r>
      <w:proofErr w:type="spellEnd"/>
      <w:r w:rsidRPr="0095251F">
        <w:rPr>
          <w:rFonts w:ascii="Arial" w:hAnsi="Arial" w:cs="Arial"/>
          <w:sz w:val="22"/>
          <w:szCs w:val="22"/>
        </w:rPr>
        <w:t>), fueron previstos montos en la Ley de Ingresos de la Federación de 2003 a 2008, con el objetivo principal de profundizar y facilitar los procesos de investigación científica, adopción e innovación tecnológica; así como para incentivar el crecimiento y competitividad de las empresas e incrementar la productividad de la economía nacional.</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De acuerdo a lo señalado en la Ley de Ciencia y Tecnología desde 2002 hasta 2008, este estímulo fiscal consistía en otorgar un crédito fiscal equivalente al 30 por ciento de los gastos e inversiones que se realizaban en el ejercicio por concepto de investigación y desarrollo de tecnología, contra el impuesto sobre la renta (ISR) que se causaría en el ejercicio en el que se determinaba dicho crédito. Cuando dicho crédito resultaba mayor al ISR del ejercicio, la diferencia se podría aplicar contra el ISR de los diez ejercicios siguientes. Actualmente, el Código Fiscal de la Federación establece que los contribuyentes podrán acreditar los estímulos fiscales a que tengan derecho en un plazo de cinco años contados a partir del último día en que venza el plazo para la presentación de la declaración en la que nace el derecho de obtener el estímulo, o bien cuando no esté obligado a presentar.</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Por otra parte, el mecanismo para el otorgamiento del estímulo hasta 2008 era el siguiente: la empresa debía inscribirse en el Registro Nacional de Instituciones y Empresas Científicas y Tecnológicas (</w:t>
      </w:r>
      <w:proofErr w:type="spellStart"/>
      <w:r w:rsidRPr="0095251F">
        <w:rPr>
          <w:rFonts w:ascii="Arial" w:hAnsi="Arial" w:cs="Arial"/>
          <w:sz w:val="22"/>
          <w:szCs w:val="22"/>
        </w:rPr>
        <w:t>Reniecyt</w:t>
      </w:r>
      <w:proofErr w:type="spellEnd"/>
      <w:r w:rsidRPr="0095251F">
        <w:rPr>
          <w:rFonts w:ascii="Arial" w:hAnsi="Arial" w:cs="Arial"/>
          <w:sz w:val="22"/>
          <w:szCs w:val="22"/>
        </w:rPr>
        <w:t xml:space="preserve">); dar cumplimiento a ciertos requisitos establecidos en la Reglas Generales de Operación aplicables a dicho estímulo y a una </w:t>
      </w:r>
      <w:r w:rsidRPr="0095251F">
        <w:rPr>
          <w:rFonts w:ascii="Arial" w:hAnsi="Arial" w:cs="Arial"/>
          <w:sz w:val="22"/>
          <w:szCs w:val="22"/>
        </w:rPr>
        <w:lastRenderedPageBreak/>
        <w:t xml:space="preserve">convocatoria de proyectos de investigación, de desarrollo o de innovación tecnológica emitida por el propio </w:t>
      </w:r>
      <w:proofErr w:type="spellStart"/>
      <w:r w:rsidRPr="0095251F">
        <w:rPr>
          <w:rFonts w:ascii="Arial" w:hAnsi="Arial" w:cs="Arial"/>
          <w:sz w:val="22"/>
          <w:szCs w:val="22"/>
        </w:rPr>
        <w:t>Conacyt</w:t>
      </w:r>
      <w:proofErr w:type="spellEnd"/>
      <w:r w:rsidRPr="0095251F">
        <w:rPr>
          <w:rFonts w:ascii="Arial" w:hAnsi="Arial" w:cs="Arial"/>
          <w:sz w:val="22"/>
          <w:szCs w:val="22"/>
        </w:rPr>
        <w:t xml:space="preserve">. </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 xml:space="preserve">Argumentación </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El artículo 219 de la Ley del Impuesto sobre la Renta fue derogado el 7 de diciembre de 2009 y desde ese mismo año ya no se incluye disposición alguna en la Ley de Ingresos de la Federación, respecto a los estímulos fiscales para proyectos de investigación, de desarrollo o de innovación tecnológica, por lo que desde el año 2009 y hasta la fecha, el estímulo fiscal para Investigación, Desarrollo Tecnológico e Innovación se ha ejercido vía presupuestal, mediante la suscripción de un convenio de asignación de recursos, cuya formalización y otorgamiento de los recursos está sujeto a las siguientes condiciones:</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1) Presentar los informes del apoyo otorgado correspondiente al ejercicio anterior, y haber cumplido con los términos de ejecución formalizados en el convenio de asignación de recursos.</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2) Cumplir con la entrega de la documentación de la empresa para la formalización del apoyo durante el periodo que se establezca.</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3) Realizar la firma del pagaré correspondiente al o los apoyos otorgados, en cumplimento al numeral 5, párrafo 3, de los términos de ejecución formalizados en el convenio de asignación de recursos. </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El estímulo es otorgado en tres modalidades:</w:t>
      </w:r>
    </w:p>
    <w:p w:rsidR="0095251F" w:rsidRPr="0095251F" w:rsidRDefault="0095251F" w:rsidP="0095251F">
      <w:pPr>
        <w:pStyle w:val="sangria"/>
        <w:rPr>
          <w:rFonts w:ascii="Arial" w:hAnsi="Arial" w:cs="Arial"/>
          <w:sz w:val="22"/>
          <w:szCs w:val="22"/>
        </w:rPr>
      </w:pPr>
      <w:proofErr w:type="gramStart"/>
      <w:r w:rsidRPr="0095251F">
        <w:rPr>
          <w:rFonts w:ascii="Arial" w:hAnsi="Arial" w:cs="Arial"/>
          <w:sz w:val="22"/>
          <w:szCs w:val="22"/>
        </w:rPr>
        <w:t>1.Innovapyme</w:t>
      </w:r>
      <w:proofErr w:type="gramEnd"/>
      <w:r w:rsidRPr="0095251F">
        <w:rPr>
          <w:rFonts w:ascii="Arial" w:hAnsi="Arial" w:cs="Arial"/>
          <w:sz w:val="22"/>
          <w:szCs w:val="22"/>
        </w:rPr>
        <w:t xml:space="preserve"> (Innovación Tecnológica para Negocios de Alto Valor Agregado).</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2. </w:t>
      </w:r>
      <w:proofErr w:type="spellStart"/>
      <w:r w:rsidRPr="0095251F">
        <w:rPr>
          <w:rFonts w:ascii="Arial" w:hAnsi="Arial" w:cs="Arial"/>
          <w:sz w:val="22"/>
          <w:szCs w:val="22"/>
        </w:rPr>
        <w:t>Proinnova</w:t>
      </w:r>
      <w:proofErr w:type="spellEnd"/>
      <w:r w:rsidRPr="0095251F">
        <w:rPr>
          <w:rFonts w:ascii="Arial" w:hAnsi="Arial" w:cs="Arial"/>
          <w:sz w:val="22"/>
          <w:szCs w:val="22"/>
        </w:rPr>
        <w:t xml:space="preserve"> (Desarrollo e Innovación en Tecnologías Precursoras).</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3. </w:t>
      </w:r>
      <w:proofErr w:type="spellStart"/>
      <w:r w:rsidRPr="0095251F">
        <w:rPr>
          <w:rFonts w:ascii="Arial" w:hAnsi="Arial" w:cs="Arial"/>
          <w:sz w:val="22"/>
          <w:szCs w:val="22"/>
        </w:rPr>
        <w:t>Innovatec</w:t>
      </w:r>
      <w:proofErr w:type="spellEnd"/>
      <w:r w:rsidRPr="0095251F">
        <w:rPr>
          <w:rFonts w:ascii="Arial" w:hAnsi="Arial" w:cs="Arial"/>
          <w:sz w:val="22"/>
          <w:szCs w:val="22"/>
        </w:rPr>
        <w:t xml:space="preserve"> (Innovación Tecnológica para la Competitividad de las Empresas).</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En cada modalidad el monto del apoyo puede variar, dependiendo de si el proyecto es individual o si se encuentra vinculado con Instituciones de Educación Superior (IES) o bien, con Centros de Investigación (CI), el cual puede ir desde 22 por ciento hasta 75 por ciento del gasto elegible.</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Para tener derecho al beneficio del estímulo fiscal por investigación y desarrollo de tecnología, los contribuyentes deben cumplir entre otros, con los siguientes requisitos:</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Contar con Registro Federal de Contribuyentes (RFC).</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Tener vigente su inscripción ante el Registro Nacional de Instituciones y Empresas Científicas y Tecnológicas (</w:t>
      </w:r>
      <w:proofErr w:type="spellStart"/>
      <w:r w:rsidRPr="0095251F">
        <w:rPr>
          <w:rFonts w:ascii="Arial" w:hAnsi="Arial" w:cs="Arial"/>
          <w:sz w:val="22"/>
          <w:szCs w:val="22"/>
        </w:rPr>
        <w:t>Reniecyt</w:t>
      </w:r>
      <w:proofErr w:type="spellEnd"/>
      <w:r w:rsidRPr="0095251F">
        <w:rPr>
          <w:rFonts w:ascii="Arial" w:hAnsi="Arial" w:cs="Arial"/>
          <w:sz w:val="22"/>
          <w:szCs w:val="22"/>
        </w:rPr>
        <w:t xml:space="preserve">) ante el </w:t>
      </w:r>
      <w:proofErr w:type="spellStart"/>
      <w:r w:rsidRPr="0095251F">
        <w:rPr>
          <w:rFonts w:ascii="Arial" w:hAnsi="Arial" w:cs="Arial"/>
          <w:sz w:val="22"/>
          <w:szCs w:val="22"/>
        </w:rPr>
        <w:t>Conacyt</w:t>
      </w:r>
      <w:proofErr w:type="spellEnd"/>
      <w:r w:rsidRPr="0095251F">
        <w:rPr>
          <w:rFonts w:ascii="Arial" w:hAnsi="Arial" w:cs="Arial"/>
          <w:sz w:val="22"/>
          <w:szCs w:val="22"/>
        </w:rPr>
        <w:t>.</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Presentar sus proyectos de Investigación y Desarrollo de Tecnología y el monto del recurso económico requerido para el desarrollo del mismo.</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lastRenderedPageBreak/>
        <w:t xml:space="preserve">• Presentar la documentación requerida acorde a las convocatorias que al efecto emita el </w:t>
      </w:r>
      <w:proofErr w:type="spellStart"/>
      <w:r w:rsidRPr="0095251F">
        <w:rPr>
          <w:rFonts w:ascii="Arial" w:hAnsi="Arial" w:cs="Arial"/>
          <w:sz w:val="22"/>
          <w:szCs w:val="22"/>
        </w:rPr>
        <w:t>Conacyt</w:t>
      </w:r>
      <w:proofErr w:type="spellEnd"/>
      <w:r w:rsidRPr="0095251F">
        <w:rPr>
          <w:rFonts w:ascii="Arial" w:hAnsi="Arial" w:cs="Arial"/>
          <w:sz w:val="22"/>
          <w:szCs w:val="22"/>
        </w:rPr>
        <w:t>.</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 Manifestar bajo protesta de decir verdad que la información es verídica, que se encuentra al corriente de sus obligaciones fiscales y en el pago de impuestos federales y que no tiene adeudos con el </w:t>
      </w:r>
      <w:proofErr w:type="spellStart"/>
      <w:r w:rsidRPr="0095251F">
        <w:rPr>
          <w:rFonts w:ascii="Arial" w:hAnsi="Arial" w:cs="Arial"/>
          <w:sz w:val="22"/>
          <w:szCs w:val="22"/>
        </w:rPr>
        <w:t>Conacyt</w:t>
      </w:r>
      <w:proofErr w:type="spellEnd"/>
      <w:r w:rsidRPr="0095251F">
        <w:rPr>
          <w:rFonts w:ascii="Arial" w:hAnsi="Arial" w:cs="Arial"/>
          <w:sz w:val="22"/>
          <w:szCs w:val="22"/>
        </w:rPr>
        <w:t>.</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 Por otro lado, los contribuyentes que sometan a consideración del </w:t>
      </w:r>
      <w:proofErr w:type="spellStart"/>
      <w:r w:rsidRPr="0095251F">
        <w:rPr>
          <w:rFonts w:ascii="Arial" w:hAnsi="Arial" w:cs="Arial"/>
          <w:sz w:val="22"/>
          <w:szCs w:val="22"/>
        </w:rPr>
        <w:t>Conacyt</w:t>
      </w:r>
      <w:proofErr w:type="spellEnd"/>
      <w:r w:rsidRPr="0095251F">
        <w:rPr>
          <w:rFonts w:ascii="Arial" w:hAnsi="Arial" w:cs="Arial"/>
          <w:sz w:val="22"/>
          <w:szCs w:val="22"/>
        </w:rPr>
        <w:t xml:space="preserve"> sus proyectos de investigación y desarrollo de tecnología deberán cumplir además con los siguientes requisitos:</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 La presentación de la propuesta de los proyectos de Investigación y Desarrollo de Tecnología se hace vía Internet en la página del </w:t>
      </w:r>
      <w:proofErr w:type="spellStart"/>
      <w:r w:rsidRPr="0095251F">
        <w:rPr>
          <w:rFonts w:ascii="Arial" w:hAnsi="Arial" w:cs="Arial"/>
          <w:sz w:val="22"/>
          <w:szCs w:val="22"/>
        </w:rPr>
        <w:t>Conacyt</w:t>
      </w:r>
      <w:proofErr w:type="spellEnd"/>
      <w:r w:rsidRPr="0095251F">
        <w:rPr>
          <w:rFonts w:ascii="Arial" w:hAnsi="Arial" w:cs="Arial"/>
          <w:sz w:val="22"/>
          <w:szCs w:val="22"/>
        </w:rPr>
        <w:t xml:space="preserve"> y mediante una convocatoria que al efecto da a conocer dicho organismo.</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 Los proyectos se presentan en la página del </w:t>
      </w:r>
      <w:proofErr w:type="spellStart"/>
      <w:r w:rsidRPr="0095251F">
        <w:rPr>
          <w:rFonts w:ascii="Arial" w:hAnsi="Arial" w:cs="Arial"/>
          <w:sz w:val="22"/>
          <w:szCs w:val="22"/>
        </w:rPr>
        <w:t>Conacyt</w:t>
      </w:r>
      <w:proofErr w:type="spellEnd"/>
      <w:r w:rsidRPr="0095251F">
        <w:rPr>
          <w:rFonts w:ascii="Arial" w:hAnsi="Arial" w:cs="Arial"/>
          <w:sz w:val="22"/>
          <w:szCs w:val="22"/>
        </w:rPr>
        <w:t xml:space="preserve"> durante la vigencia de la convocatoria.</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xml:space="preserve">• La relación de propuestas que en su caso, resultan beneficiadas son publicadas en la página del </w:t>
      </w:r>
      <w:proofErr w:type="spellStart"/>
      <w:r w:rsidRPr="0095251F">
        <w:rPr>
          <w:rFonts w:ascii="Arial" w:hAnsi="Arial" w:cs="Arial"/>
          <w:sz w:val="22"/>
          <w:szCs w:val="22"/>
        </w:rPr>
        <w:t>Conacyt</w:t>
      </w:r>
      <w:proofErr w:type="spellEnd"/>
      <w:r w:rsidRPr="0095251F">
        <w:rPr>
          <w:rFonts w:ascii="Arial" w:hAnsi="Arial" w:cs="Arial"/>
          <w:sz w:val="22"/>
          <w:szCs w:val="22"/>
        </w:rPr>
        <w:t>.</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Una vez que se dan a conocer las propuestas beneficiadas, los contribuyentes a los que se les otorga dicho estímulo, deben cumplir con lo siguiente:</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Suscribir un pagaré por el monto del apoyo que se reciba, el cual se cancelará al formalizar el convenio del mismo.</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A partir de la fecha de publicación, los contribuyentes tendrán 30 días para la entrega de una factura sin IVA por el monto del apoyo y un oficio donde éstos señalen el monto de la ministración y el número de cuenta bancaria donde se hará el depósito del estímulo otorgado.</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 Al finalizar el ejercicio fiscal, los contribuyentes beneficiados deben presentar un informe sobre impactos y beneficios obtenidos en el ejercicio, de la inversión de IDT, así como un informe financiero auditado por un despacho de auditoría acreditado ante la Secretaría de la Función Pública, referente al gasto real efectuado en el ejercicio fiscal de que se trate, mismo que deberá contener:</w:t>
      </w:r>
    </w:p>
    <w:p w:rsidR="0095251F" w:rsidRPr="0095251F" w:rsidRDefault="0095251F" w:rsidP="0095251F">
      <w:pPr>
        <w:pStyle w:val="sangrota"/>
        <w:rPr>
          <w:rFonts w:ascii="Arial" w:hAnsi="Arial" w:cs="Arial"/>
          <w:sz w:val="22"/>
          <w:szCs w:val="22"/>
        </w:rPr>
      </w:pPr>
      <w:r w:rsidRPr="0095251F">
        <w:rPr>
          <w:rFonts w:ascii="Arial" w:hAnsi="Arial" w:cs="Arial"/>
          <w:sz w:val="22"/>
          <w:szCs w:val="22"/>
        </w:rPr>
        <w:t>– Los elementos que permitirán verificar de manera clara la base del gasto ejercido por los contribuyentes beneficiados.</w:t>
      </w:r>
    </w:p>
    <w:p w:rsidR="0095251F" w:rsidRPr="0095251F" w:rsidRDefault="0095251F" w:rsidP="0095251F">
      <w:pPr>
        <w:pStyle w:val="sangrota"/>
        <w:rPr>
          <w:rFonts w:ascii="Arial" w:hAnsi="Arial" w:cs="Arial"/>
          <w:sz w:val="22"/>
          <w:szCs w:val="22"/>
        </w:rPr>
      </w:pPr>
      <w:r w:rsidRPr="0095251F">
        <w:rPr>
          <w:rFonts w:ascii="Arial" w:hAnsi="Arial" w:cs="Arial"/>
          <w:sz w:val="22"/>
          <w:szCs w:val="22"/>
        </w:rPr>
        <w:t>– El total del gasto elegible sobre el cual fue aplicado el apoyo.</w:t>
      </w:r>
    </w:p>
    <w:p w:rsidR="0095251F" w:rsidRPr="0095251F" w:rsidRDefault="0095251F" w:rsidP="0095251F">
      <w:pPr>
        <w:pStyle w:val="sangrota"/>
        <w:rPr>
          <w:rFonts w:ascii="Arial" w:hAnsi="Arial" w:cs="Arial"/>
          <w:sz w:val="22"/>
          <w:szCs w:val="22"/>
        </w:rPr>
      </w:pPr>
      <w:r w:rsidRPr="0095251F">
        <w:rPr>
          <w:rFonts w:ascii="Arial" w:hAnsi="Arial" w:cs="Arial"/>
          <w:sz w:val="22"/>
          <w:szCs w:val="22"/>
        </w:rPr>
        <w:t>– El uso del apoyo adicional.</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 xml:space="preserve">Los contribuyentes que no cumplen con alguna de las obligaciones contraídas en la obtención del estímulo fiscal, se les cancela de manera inmediata el o los proyectos sujetos a apoyo y quedan imposibilitados de recibir apoyos futuros del </w:t>
      </w:r>
      <w:proofErr w:type="spellStart"/>
      <w:r w:rsidRPr="0095251F">
        <w:rPr>
          <w:rFonts w:ascii="Arial" w:hAnsi="Arial" w:cs="Arial"/>
          <w:sz w:val="22"/>
          <w:szCs w:val="22"/>
        </w:rPr>
        <w:t>Conacyt</w:t>
      </w:r>
      <w:proofErr w:type="spellEnd"/>
      <w:r w:rsidRPr="0095251F">
        <w:rPr>
          <w:rFonts w:ascii="Arial" w:hAnsi="Arial" w:cs="Arial"/>
          <w:sz w:val="22"/>
          <w:szCs w:val="22"/>
        </w:rPr>
        <w:t xml:space="preserve">, y deben reintegrar la totalidad de recursos que les fueron canalizados en un plazo no mayor de 30 </w:t>
      </w:r>
      <w:r w:rsidRPr="0095251F">
        <w:rPr>
          <w:rFonts w:ascii="Arial" w:hAnsi="Arial" w:cs="Arial"/>
          <w:sz w:val="22"/>
          <w:szCs w:val="22"/>
        </w:rPr>
        <w:lastRenderedPageBreak/>
        <w:t>días naturales contados a partir de la fecha del requerimiento que se les formule para tales efectos.</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Asimismo, los ingresos que obtienen los contribuyentes derivados del estímulo en comento, son ingresos acumulables para efectos sólo de la determinación del ISR.</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 xml:space="preserve">De esta manera, la propuesta de Nueva Alianza tiene como finalidad ajustar el texto del artículo 29 de la Ley de Ciencia y Tecnología para hacerlo acorde a la realidad operativa en el otorgamiento de los estímulos fiscales para proyectos en investigación y desarrollo tecnológico e innovación, así como ampliar el universo de proyectos beneficiados con el otorgamiento de un crédito fiscal mediante la autorización de un porcentaje de deducción de los gastos que realicen las instituciones o empresas en proyectos relativos. </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En este sentido, resulta impostergable que se realice la reforma que se propone ya que como se ha explicado, actualmente el artículo 29 de la Ley de Ciencia y Tecnología condiciona el otorgamiento de dicho estímulo fiscal a lo establecido en el artículo 219 de la Ley del Impuesto sobre la Renta que fue derogado desde 2009, así como en la Ley de Ingresos de la Federación, en la cual también desde el ejercicio de 2009 no se ha previsto ningún monto, por lo que no tiene ningún sentido como se encuentra redactada la disposición legal actual, ya que está desvinculada con la realidad de cómo se está otorgando el estímulo fiscal.</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 xml:space="preserve">Adicionalmente, la propuesta de Nueva Alianza considera dos aspectos particulares para ampliar el universo de los proyectos elegibles de estos beneficios fiscales; el primero es continuar con el otorgamiento de estímulos fiscales vía presupuestal para los proyectos que resulten beneficiados conforme a las reglas emitidas por el </w:t>
      </w:r>
      <w:proofErr w:type="spellStart"/>
      <w:r w:rsidRPr="0095251F">
        <w:rPr>
          <w:rFonts w:ascii="Arial" w:hAnsi="Arial" w:cs="Arial"/>
          <w:sz w:val="22"/>
          <w:szCs w:val="22"/>
        </w:rPr>
        <w:t>Conacyt</w:t>
      </w:r>
      <w:proofErr w:type="spellEnd"/>
      <w:r w:rsidRPr="0095251F">
        <w:rPr>
          <w:rFonts w:ascii="Arial" w:hAnsi="Arial" w:cs="Arial"/>
          <w:sz w:val="22"/>
          <w:szCs w:val="22"/>
        </w:rPr>
        <w:t xml:space="preserve">, y el segundo, es la autorización de créditos fiscales que permitan la deducción de 50 por ciento de los recursos propios que las empresas destinen a proyectos de investigación, de desarrollo o de innovación tecnológica previo dictamen favorable del </w:t>
      </w:r>
      <w:proofErr w:type="spellStart"/>
      <w:r w:rsidRPr="0095251F">
        <w:rPr>
          <w:rFonts w:ascii="Arial" w:hAnsi="Arial" w:cs="Arial"/>
          <w:sz w:val="22"/>
          <w:szCs w:val="22"/>
        </w:rPr>
        <w:t>Conacyt</w:t>
      </w:r>
      <w:proofErr w:type="spellEnd"/>
      <w:r w:rsidRPr="0095251F">
        <w:rPr>
          <w:rFonts w:ascii="Arial" w:hAnsi="Arial" w:cs="Arial"/>
          <w:sz w:val="22"/>
          <w:szCs w:val="22"/>
        </w:rPr>
        <w:t>, monto acreditable contra el ISR causado en el ejercicio fiscal que se trate.</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Por las consideraciones expuestas y fundadas, en mi calidad de diputado federal, integrante del Grupo Parlamentario de Nueva Alianza, a la LXI Legislatura de la Cámara de Diputados del honorable Congreso de la Unión; con fundamento en los artículos 71.II, de la Constitución Política de los Estados Unidos Mexicanos y 6.1.I, 77.1 y 78 del Reglamento de la Cámara de Diputados, presento ante esta soberanía Iniciativa con proyecto de</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Decreto por el que se reforma el artículo 29 de la Ley de Ciencia y Tecnología, y se adiciona el capítulo II al título VII de la Ley del Impuesto sobre la Renta</w:t>
      </w:r>
      <w:r w:rsidRPr="0095251F">
        <w:rPr>
          <w:rFonts w:ascii="Arial" w:hAnsi="Arial" w:cs="Arial"/>
          <w:sz w:val="22"/>
          <w:szCs w:val="22"/>
        </w:rPr>
        <w:t xml:space="preserve"> </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Primero.</w:t>
      </w:r>
      <w:r w:rsidRPr="0095251F">
        <w:rPr>
          <w:rFonts w:ascii="Arial" w:hAnsi="Arial" w:cs="Arial"/>
          <w:sz w:val="22"/>
          <w:szCs w:val="22"/>
        </w:rPr>
        <w:t xml:space="preserve"> Se reforma el artículo 29 de la Ley de Ciencia y Tecnología para quedar como sigue: </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 xml:space="preserve">Artículo 29. </w:t>
      </w:r>
      <w:r w:rsidRPr="0095251F">
        <w:rPr>
          <w:rFonts w:ascii="Arial" w:hAnsi="Arial" w:cs="Arial"/>
          <w:sz w:val="22"/>
          <w:szCs w:val="22"/>
        </w:rPr>
        <w:t xml:space="preserve">Los proyectos en investigación, desarrollo tecnológico e innovación podrán beneficiarse del estímulo o crédito fiscal previstos en el artículo 220 de la Ley del Impuesto sobre la Renta. </w:t>
      </w:r>
    </w:p>
    <w:p w:rsidR="0095251F" w:rsidRPr="0095251F" w:rsidRDefault="0095251F" w:rsidP="0095251F">
      <w:pPr>
        <w:pStyle w:val="NormalWeb"/>
        <w:rPr>
          <w:rFonts w:ascii="Arial" w:hAnsi="Arial" w:cs="Arial"/>
          <w:sz w:val="22"/>
          <w:szCs w:val="22"/>
        </w:rPr>
      </w:pPr>
      <w:r w:rsidRPr="0095251F">
        <w:rPr>
          <w:rFonts w:ascii="Arial" w:hAnsi="Arial" w:cs="Arial"/>
          <w:sz w:val="22"/>
          <w:szCs w:val="22"/>
        </w:rPr>
        <w:t xml:space="preserve">Para ser beneficiarios del estímulo o crédito fiscal, la institución o empresa deberá inscribirse previamente en el Registro Nacional de Instituciones y Empresas Científicas y </w:t>
      </w:r>
      <w:r w:rsidRPr="0095251F">
        <w:rPr>
          <w:rFonts w:ascii="Arial" w:hAnsi="Arial" w:cs="Arial"/>
          <w:sz w:val="22"/>
          <w:szCs w:val="22"/>
        </w:rPr>
        <w:lastRenderedPageBreak/>
        <w:t>Tecnológicas; indicar si el proyecto se llevará a cabo mediante apoyo presupuestal o con recursos propios; dar cumplimiento a los requisitos establecidos en la Reglas Generales aplicables y atender la convocatoria de proyectos de investigación, de desarrollo o de innovación tecnológica emitida por el Consejo Nacional de Ciencia y Tecnología.</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Segundo.</w:t>
      </w:r>
      <w:r w:rsidRPr="0095251F">
        <w:rPr>
          <w:rFonts w:ascii="Arial" w:hAnsi="Arial" w:cs="Arial"/>
          <w:sz w:val="22"/>
          <w:szCs w:val="22"/>
        </w:rPr>
        <w:t xml:space="preserve"> Se adiciona el capítulo II al título VII de la Ley de Impuesto Sobre la Renta, recorriendo la subsiguiente numeración de capítulos y artículos respectivamente para quedar como sigue: </w:t>
      </w:r>
    </w:p>
    <w:p w:rsidR="0095251F" w:rsidRPr="0095251F" w:rsidRDefault="0095251F" w:rsidP="0095251F">
      <w:pPr>
        <w:pStyle w:val="centrar"/>
        <w:rPr>
          <w:rFonts w:ascii="Arial" w:hAnsi="Arial" w:cs="Arial"/>
          <w:sz w:val="22"/>
          <w:szCs w:val="22"/>
        </w:rPr>
      </w:pPr>
      <w:r w:rsidRPr="0095251F">
        <w:rPr>
          <w:rFonts w:ascii="Arial" w:hAnsi="Arial" w:cs="Arial"/>
          <w:sz w:val="22"/>
          <w:szCs w:val="22"/>
        </w:rPr>
        <w:t>Capítulo II De la Inversión en Proyectos de Investigación, Desarrollo o Innovación Tecnológica</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 xml:space="preserve">Artículo 220. </w:t>
      </w:r>
      <w:r w:rsidRPr="0095251F">
        <w:rPr>
          <w:rFonts w:ascii="Arial" w:hAnsi="Arial" w:cs="Arial"/>
          <w:sz w:val="22"/>
          <w:szCs w:val="22"/>
        </w:rPr>
        <w:t>Los contribuyentes del impuesto sobre la renta que lleven a cabo proyectos de investigación, de desarrollo o de innovación tecnológica, podrán beneficiarse de un estímulo fiscal o un crédito fiscal conforme a lo siguiente:</w:t>
      </w:r>
    </w:p>
    <w:p w:rsidR="0095251F" w:rsidRPr="0095251F" w:rsidRDefault="0095251F" w:rsidP="0095251F">
      <w:pPr>
        <w:pStyle w:val="sangria"/>
        <w:rPr>
          <w:rFonts w:ascii="Arial" w:hAnsi="Arial" w:cs="Arial"/>
          <w:sz w:val="22"/>
          <w:szCs w:val="22"/>
        </w:rPr>
      </w:pPr>
      <w:r w:rsidRPr="0095251F">
        <w:rPr>
          <w:rStyle w:val="negritas"/>
          <w:rFonts w:ascii="Arial" w:hAnsi="Arial" w:cs="Arial"/>
          <w:sz w:val="22"/>
          <w:szCs w:val="22"/>
        </w:rPr>
        <w:t>I.</w:t>
      </w:r>
      <w:r w:rsidRPr="0095251F">
        <w:rPr>
          <w:rFonts w:ascii="Arial" w:hAnsi="Arial" w:cs="Arial"/>
          <w:sz w:val="22"/>
          <w:szCs w:val="22"/>
        </w:rPr>
        <w:t xml:space="preserve"> Estímulo fiscal vía presupuestal, será otorgado mediante la suscripción de un convenio de asignación de recursos, cuya formalización y otorgamiento de los recursos estará sujeto a las reglas generales de operación aplicables, que emita el Consejo Nacional de Ciencia y Tecnología. Los ingresos que obtengan los contribuyentes derivados del estímulo a que se refiere esta fracción, se consideraran ingresos acumulables para efectos de la determinación del impuesto sobre la renta; o</w:t>
      </w:r>
    </w:p>
    <w:p w:rsidR="0095251F" w:rsidRPr="0095251F" w:rsidRDefault="0095251F" w:rsidP="0095251F">
      <w:pPr>
        <w:pStyle w:val="sangria"/>
        <w:rPr>
          <w:rFonts w:ascii="Arial" w:hAnsi="Arial" w:cs="Arial"/>
          <w:sz w:val="22"/>
          <w:szCs w:val="22"/>
        </w:rPr>
      </w:pPr>
      <w:r w:rsidRPr="0095251F">
        <w:rPr>
          <w:rStyle w:val="negritas"/>
          <w:rFonts w:ascii="Arial" w:hAnsi="Arial" w:cs="Arial"/>
          <w:sz w:val="22"/>
          <w:szCs w:val="22"/>
        </w:rPr>
        <w:t xml:space="preserve">II. </w:t>
      </w:r>
      <w:r w:rsidRPr="0095251F">
        <w:rPr>
          <w:rFonts w:ascii="Arial" w:hAnsi="Arial" w:cs="Arial"/>
          <w:sz w:val="22"/>
          <w:szCs w:val="22"/>
        </w:rPr>
        <w:t>Crédito fiscal, podrá ser equivalente hasta el 50 por ciento de los gastos e inversiones que realicen las instituciones o empresas con recursos propios en proyectos de investigación, desarrollo de tecnología e innovación. Una vez que el proyecto sea elegible, la empresa o institución podrá considerar acreditable el monto del crédito fiscal a que se refiere esta fracción, para efectos de la determinación del impuesto sobre la renta causado en el ejercicio en que se determine dicho crédito.</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En ambos casos, para ser beneficiarios del estímulo o crédito fiscal respectivamente, la institución o empresa deberá inscribirse previamente en el Registro Nacional de Instituciones y Empresas Científicas y Tecnológicas; indicar si el proyecto se llevará a cabo mediante apoyo presupuestal o con recursos propios; dar cumplimiento a los requisitos establecidos en la reglas generales aplicables que sean publicadas y atender la convocatoria de proyectos de investigación, de desarrollo o de innovación tecnológica emitida por el propio Consejo Nacional de Ciencia y Tecnología.</w:t>
      </w:r>
    </w:p>
    <w:p w:rsidR="0095251F" w:rsidRPr="0095251F" w:rsidRDefault="0095251F" w:rsidP="0095251F">
      <w:pPr>
        <w:pStyle w:val="sangria"/>
        <w:rPr>
          <w:rFonts w:ascii="Arial" w:hAnsi="Arial" w:cs="Arial"/>
          <w:sz w:val="22"/>
          <w:szCs w:val="22"/>
        </w:rPr>
      </w:pPr>
      <w:r w:rsidRPr="0095251F">
        <w:rPr>
          <w:rFonts w:ascii="Arial" w:hAnsi="Arial" w:cs="Arial"/>
          <w:sz w:val="22"/>
          <w:szCs w:val="22"/>
        </w:rPr>
        <w:t>Para los efectos de este artículo, se considera como investigación, desarrollo de tecnología e innovación, los gastos e inversiones en territorio nacional, destinados directa y exclusivamente a la ejecución de proyectos propios del contribuyente que se encuentren dirigidos al desarrollo de productos, materiales o procesos de producción, que representen un avance científico o tecnológico.</w:t>
      </w:r>
    </w:p>
    <w:p w:rsidR="0095251F" w:rsidRPr="0095251F" w:rsidRDefault="0095251F" w:rsidP="0095251F">
      <w:pPr>
        <w:pStyle w:val="centrar"/>
        <w:rPr>
          <w:rFonts w:ascii="Arial" w:hAnsi="Arial" w:cs="Arial"/>
          <w:sz w:val="22"/>
          <w:szCs w:val="22"/>
        </w:rPr>
      </w:pPr>
      <w:r w:rsidRPr="0095251F">
        <w:rPr>
          <w:rFonts w:ascii="Arial" w:hAnsi="Arial" w:cs="Arial"/>
          <w:sz w:val="22"/>
          <w:szCs w:val="22"/>
        </w:rPr>
        <w:t>Artículo Transitorio</w:t>
      </w:r>
    </w:p>
    <w:p w:rsidR="0095251F" w:rsidRPr="0095251F" w:rsidRDefault="0095251F" w:rsidP="0095251F">
      <w:pPr>
        <w:pStyle w:val="NormalWeb"/>
        <w:rPr>
          <w:rFonts w:ascii="Arial" w:hAnsi="Arial" w:cs="Arial"/>
          <w:sz w:val="22"/>
          <w:szCs w:val="22"/>
        </w:rPr>
      </w:pPr>
      <w:r w:rsidRPr="0095251F">
        <w:rPr>
          <w:rStyle w:val="negritas"/>
          <w:rFonts w:ascii="Arial" w:hAnsi="Arial" w:cs="Arial"/>
          <w:sz w:val="22"/>
          <w:szCs w:val="22"/>
        </w:rPr>
        <w:t>Artículo Único.</w:t>
      </w:r>
      <w:r w:rsidRPr="0095251F">
        <w:rPr>
          <w:rFonts w:ascii="Arial" w:hAnsi="Arial" w:cs="Arial"/>
          <w:sz w:val="22"/>
          <w:szCs w:val="22"/>
        </w:rPr>
        <w:t xml:space="preserve"> El presente decreto entrará en vigor el día siguiente al de su publicación en el Diario Oficial de la Federación. </w:t>
      </w:r>
    </w:p>
    <w:p w:rsidR="0095251F" w:rsidRPr="0095251F" w:rsidRDefault="0095251F" w:rsidP="0095251F">
      <w:pPr>
        <w:pStyle w:val="derecha"/>
        <w:rPr>
          <w:rFonts w:ascii="Arial" w:hAnsi="Arial" w:cs="Arial"/>
          <w:sz w:val="22"/>
          <w:szCs w:val="22"/>
        </w:rPr>
      </w:pPr>
      <w:r w:rsidRPr="0095251F">
        <w:rPr>
          <w:rFonts w:ascii="Arial" w:hAnsi="Arial" w:cs="Arial"/>
          <w:sz w:val="22"/>
          <w:szCs w:val="22"/>
        </w:rPr>
        <w:lastRenderedPageBreak/>
        <w:t>Dado en la Cámara de Diputados del honorable Congreso de la Unión, a 13 de diciembre de 2011.</w:t>
      </w:r>
    </w:p>
    <w:p w:rsidR="0095251F" w:rsidRPr="0095251F" w:rsidRDefault="0095251F" w:rsidP="0095251F">
      <w:pPr>
        <w:pStyle w:val="atentamente"/>
        <w:rPr>
          <w:rFonts w:ascii="Arial" w:hAnsi="Arial" w:cs="Arial"/>
        </w:rPr>
      </w:pPr>
      <w:r w:rsidRPr="0095251F">
        <w:rPr>
          <w:rFonts w:ascii="Arial" w:hAnsi="Arial" w:cs="Arial"/>
        </w:rPr>
        <w:t>Diputado Gerardo del Mazo Morales (rúbrica)</w:t>
      </w:r>
    </w:p>
    <w:bookmarkEnd w:id="0"/>
    <w:p w:rsidR="008068BD" w:rsidRPr="0095251F" w:rsidRDefault="008F59D1">
      <w:pPr>
        <w:rPr>
          <w:rFonts w:ascii="Arial" w:hAnsi="Arial" w:cs="Arial"/>
        </w:rPr>
      </w:pPr>
    </w:p>
    <w:sectPr w:rsidR="008068BD" w:rsidRPr="009525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1F"/>
    <w:rsid w:val="008F59D1"/>
    <w:rsid w:val="0095251F"/>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51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5251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5251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5251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5251F"/>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95251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95251F"/>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52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251F"/>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5251F"/>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5251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5251F"/>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95251F"/>
    <w:pPr>
      <w:spacing w:after="0" w:line="240" w:lineRule="auto"/>
      <w:jc w:val="both"/>
    </w:pPr>
    <w:rPr>
      <w:rFonts w:ascii="Times New Roman" w:eastAsia="Times New Roman" w:hAnsi="Times New Roman" w:cs="Times New Roman"/>
      <w:lang w:eastAsia="es-MX"/>
    </w:rPr>
  </w:style>
  <w:style w:type="paragraph" w:customStyle="1" w:styleId="sangria">
    <w:name w:val="sangria"/>
    <w:basedOn w:val="Normal"/>
    <w:rsid w:val="0095251F"/>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paragraph" w:customStyle="1" w:styleId="sangrota">
    <w:name w:val="sangrota"/>
    <w:basedOn w:val="Normal"/>
    <w:rsid w:val="0095251F"/>
    <w:pPr>
      <w:spacing w:before="100" w:beforeAutospacing="1" w:after="100" w:afterAutospacing="1" w:line="240" w:lineRule="auto"/>
      <w:ind w:left="36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92324">
      <w:bodyDiv w:val="1"/>
      <w:marLeft w:val="150"/>
      <w:marRight w:val="150"/>
      <w:marTop w:val="0"/>
      <w:marBottom w:val="0"/>
      <w:divBdr>
        <w:top w:val="none" w:sz="0" w:space="0" w:color="auto"/>
        <w:left w:val="none" w:sz="0" w:space="0" w:color="auto"/>
        <w:bottom w:val="none" w:sz="0" w:space="0" w:color="auto"/>
        <w:right w:val="none" w:sz="0" w:space="0" w:color="auto"/>
      </w:divBdr>
      <w:divsChild>
        <w:div w:id="66196764">
          <w:marLeft w:val="0"/>
          <w:marRight w:val="0"/>
          <w:marTop w:val="0"/>
          <w:marBottom w:val="0"/>
          <w:divBdr>
            <w:top w:val="none" w:sz="0" w:space="0" w:color="auto"/>
            <w:left w:val="none" w:sz="0" w:space="0" w:color="auto"/>
            <w:bottom w:val="none" w:sz="0" w:space="0" w:color="auto"/>
            <w:right w:val="none" w:sz="0" w:space="0" w:color="auto"/>
          </w:divBdr>
          <w:divsChild>
            <w:div w:id="1821120067">
              <w:marLeft w:val="0"/>
              <w:marRight w:val="0"/>
              <w:marTop w:val="0"/>
              <w:marBottom w:val="0"/>
              <w:divBdr>
                <w:top w:val="none" w:sz="0" w:space="0" w:color="auto"/>
                <w:left w:val="none" w:sz="0" w:space="0" w:color="auto"/>
                <w:bottom w:val="none" w:sz="0" w:space="0" w:color="auto"/>
                <w:right w:val="none" w:sz="0" w:space="0" w:color="auto"/>
              </w:divBdr>
              <w:divsChild>
                <w:div w:id="1174224379">
                  <w:marLeft w:val="0"/>
                  <w:marRight w:val="0"/>
                  <w:marTop w:val="1500"/>
                  <w:marBottom w:val="0"/>
                  <w:divBdr>
                    <w:top w:val="none" w:sz="0" w:space="0" w:color="auto"/>
                    <w:left w:val="none" w:sz="0" w:space="0" w:color="auto"/>
                    <w:bottom w:val="none" w:sz="0" w:space="0" w:color="auto"/>
                    <w:right w:val="none" w:sz="0" w:space="0" w:color="auto"/>
                  </w:divBdr>
                  <w:divsChild>
                    <w:div w:id="200943477">
                      <w:marLeft w:val="0"/>
                      <w:marRight w:val="0"/>
                      <w:marTop w:val="1500"/>
                      <w:marBottom w:val="0"/>
                      <w:divBdr>
                        <w:top w:val="none" w:sz="0" w:space="0" w:color="auto"/>
                        <w:left w:val="none" w:sz="0" w:space="0" w:color="auto"/>
                        <w:bottom w:val="none" w:sz="0" w:space="0" w:color="auto"/>
                        <w:right w:val="none" w:sz="0" w:space="0" w:color="auto"/>
                      </w:divBdr>
                      <w:divsChild>
                        <w:div w:id="1264653537">
                          <w:marLeft w:val="0"/>
                          <w:marRight w:val="0"/>
                          <w:marTop w:val="1500"/>
                          <w:marBottom w:val="0"/>
                          <w:divBdr>
                            <w:top w:val="none" w:sz="0" w:space="0" w:color="auto"/>
                            <w:left w:val="none" w:sz="0" w:space="0" w:color="auto"/>
                            <w:bottom w:val="none" w:sz="0" w:space="0" w:color="auto"/>
                            <w:right w:val="none" w:sz="0" w:space="0" w:color="auto"/>
                          </w:divBdr>
                          <w:divsChild>
                            <w:div w:id="1704399378">
                              <w:marLeft w:val="0"/>
                              <w:marRight w:val="0"/>
                              <w:marTop w:val="1500"/>
                              <w:marBottom w:val="0"/>
                              <w:divBdr>
                                <w:top w:val="none" w:sz="0" w:space="0" w:color="auto"/>
                                <w:left w:val="none" w:sz="0" w:space="0" w:color="auto"/>
                                <w:bottom w:val="none" w:sz="0" w:space="0" w:color="auto"/>
                                <w:right w:val="none" w:sz="0" w:space="0" w:color="auto"/>
                              </w:divBdr>
                              <w:divsChild>
                                <w:div w:id="309288178">
                                  <w:marLeft w:val="0"/>
                                  <w:marRight w:val="0"/>
                                  <w:marTop w:val="1500"/>
                                  <w:marBottom w:val="0"/>
                                  <w:divBdr>
                                    <w:top w:val="none" w:sz="0" w:space="0" w:color="auto"/>
                                    <w:left w:val="none" w:sz="0" w:space="0" w:color="auto"/>
                                    <w:bottom w:val="none" w:sz="0" w:space="0" w:color="auto"/>
                                    <w:right w:val="none" w:sz="0" w:space="0" w:color="auto"/>
                                  </w:divBdr>
                                  <w:divsChild>
                                    <w:div w:id="109905822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2192</Words>
  <Characters>12061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2012-02-03T17:16:00Z</dcterms:created>
  <dcterms:modified xsi:type="dcterms:W3CDTF">2012-02-03T17:42:00Z</dcterms:modified>
</cp:coreProperties>
</file>